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i w:val="0"/>
          <w:color w:val="000000"/>
          <w:sz w:val="44"/>
          <w:szCs w:val="44"/>
          <w:u w:val="none"/>
        </w:rPr>
      </w:pPr>
      <w:r>
        <w:rPr>
          <w:rFonts w:hint="eastAsia" w:ascii="方正小标宋简体" w:hAnsi="方正小标宋简体" w:eastAsia="方正小标宋简体" w:cs="方正小标宋简体"/>
          <w:b/>
          <w:i w:val="0"/>
          <w:color w:val="000000"/>
          <w:sz w:val="44"/>
          <w:szCs w:val="44"/>
          <w:u w:val="none"/>
          <w:lang w:val="en-US" w:eastAsia="zh-CN"/>
        </w:rPr>
        <w:t>乐山市司法局</w:t>
      </w:r>
      <w:r>
        <w:rPr>
          <w:rFonts w:hint="eastAsia" w:ascii="方正小标宋简体" w:hAnsi="方正小标宋简体" w:eastAsia="方正小标宋简体" w:cs="方正小标宋简体"/>
          <w:b/>
          <w:i w:val="0"/>
          <w:color w:val="000000"/>
          <w:sz w:val="44"/>
          <w:szCs w:val="44"/>
          <w:u w:val="none"/>
        </w:rPr>
        <w:t>政府信息主动公开基本目录（2019年修订）</w:t>
      </w:r>
    </w:p>
    <w:tbl>
      <w:tblPr>
        <w:tblStyle w:val="3"/>
        <w:tblpPr w:leftFromText="180" w:rightFromText="180" w:vertAnchor="page" w:horzAnchor="page" w:tblpX="1498" w:tblpY="3451"/>
        <w:tblOverlap w:val="never"/>
        <w:tblW w:w="20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3934"/>
        <w:gridCol w:w="3539"/>
        <w:gridCol w:w="1867"/>
        <w:gridCol w:w="1183"/>
        <w:gridCol w:w="1867"/>
        <w:gridCol w:w="2800"/>
        <w:gridCol w:w="1317"/>
        <w:gridCol w:w="1483"/>
        <w:gridCol w:w="767"/>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1071"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事项类别</w:t>
            </w:r>
          </w:p>
        </w:tc>
        <w:tc>
          <w:tcPr>
            <w:tcW w:w="3934"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事项名称</w:t>
            </w:r>
          </w:p>
        </w:tc>
        <w:tc>
          <w:tcPr>
            <w:tcW w:w="3539"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公开内容</w:t>
            </w:r>
          </w:p>
        </w:tc>
        <w:tc>
          <w:tcPr>
            <w:tcW w:w="1867"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公开依据</w:t>
            </w:r>
          </w:p>
        </w:tc>
        <w:tc>
          <w:tcPr>
            <w:tcW w:w="1183" w:type="dxa"/>
            <w:vAlign w:val="center"/>
          </w:tcPr>
          <w:p>
            <w:pPr>
              <w:wordWrap w:val="0"/>
              <w:jc w:val="center"/>
              <w:rPr>
                <w:rFonts w:hint="default" w:eastAsiaTheme="minorEastAsia"/>
                <w:color w:val="auto"/>
                <w:vertAlign w:val="baseline"/>
                <w:lang w:val="en-US" w:eastAsia="zh-CN"/>
              </w:rPr>
            </w:pPr>
            <w:r>
              <w:rPr>
                <w:rFonts w:hint="eastAsia"/>
                <w:color w:val="auto"/>
                <w:vertAlign w:val="baseline"/>
                <w:lang w:val="en-US" w:eastAsia="zh-CN"/>
              </w:rPr>
              <w:t>公开主体</w:t>
            </w:r>
          </w:p>
        </w:tc>
        <w:tc>
          <w:tcPr>
            <w:tcW w:w="1867"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公开时限</w:t>
            </w:r>
          </w:p>
        </w:tc>
        <w:tc>
          <w:tcPr>
            <w:tcW w:w="2800"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公开渠道</w:t>
            </w:r>
          </w:p>
        </w:tc>
        <w:tc>
          <w:tcPr>
            <w:tcW w:w="1317"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公开属性</w:t>
            </w:r>
          </w:p>
        </w:tc>
        <w:tc>
          <w:tcPr>
            <w:tcW w:w="1483" w:type="dxa"/>
            <w:vAlign w:val="center"/>
          </w:tcPr>
          <w:p>
            <w:pPr>
              <w:jc w:val="both"/>
              <w:rPr>
                <w:rFonts w:hint="default" w:eastAsiaTheme="minorEastAsia"/>
                <w:color w:val="auto"/>
                <w:vertAlign w:val="baseline"/>
                <w:lang w:val="en-US" w:eastAsia="zh-CN"/>
              </w:rPr>
            </w:pPr>
            <w:r>
              <w:rPr>
                <w:rFonts w:hint="eastAsia"/>
                <w:color w:val="auto"/>
                <w:vertAlign w:val="baseline"/>
                <w:lang w:val="en-US" w:eastAsia="zh-CN"/>
              </w:rPr>
              <w:t>公开形式</w:t>
            </w:r>
          </w:p>
        </w:tc>
        <w:tc>
          <w:tcPr>
            <w:tcW w:w="767"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公开对象</w:t>
            </w:r>
          </w:p>
        </w:tc>
        <w:tc>
          <w:tcPr>
            <w:tcW w:w="932" w:type="dxa"/>
            <w:vAlign w:val="center"/>
          </w:tcPr>
          <w:p>
            <w:pPr>
              <w:jc w:val="center"/>
              <w:rPr>
                <w:rFonts w:hint="default" w:eastAsiaTheme="minorEastAsia"/>
                <w:color w:val="auto"/>
                <w:vertAlign w:val="baseline"/>
                <w:lang w:val="en-US" w:eastAsia="zh-CN"/>
              </w:rPr>
            </w:pPr>
            <w:r>
              <w:rPr>
                <w:rFonts w:hint="eastAsia"/>
                <w:color w:val="auto"/>
                <w:vertAlign w:val="baseline"/>
                <w:lang w:val="en-US" w:eastAsia="zh-CN"/>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071" w:type="dxa"/>
            <w:vMerge w:val="restart"/>
            <w:vAlign w:val="center"/>
          </w:tcPr>
          <w:p>
            <w:pPr>
              <w:jc w:val="center"/>
              <w:rPr>
                <w:color w:val="auto"/>
                <w:vertAlign w:val="baseline"/>
              </w:rPr>
            </w:pPr>
            <w:r>
              <w:rPr>
                <w:rFonts w:hint="eastAsia" w:ascii="宋体" w:hAnsi="宋体" w:eastAsia="宋体" w:cs="宋体"/>
                <w:i w:val="0"/>
                <w:color w:val="auto"/>
                <w:sz w:val="20"/>
                <w:szCs w:val="20"/>
                <w:u w:val="none"/>
              </w:rPr>
              <w:t>机构信息</w:t>
            </w: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机构概况</w:t>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机构名称、办公地址、办公电话、传真、通信地址、邮政编码</w:t>
            </w:r>
          </w:p>
        </w:tc>
        <w:tc>
          <w:tcPr>
            <w:tcW w:w="1867"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《中华人民共和国政府信息公开条例》（国务院令第711号）</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183"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人事科</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信息形成（变更）3个工作日内</w:t>
            </w:r>
          </w:p>
        </w:tc>
        <w:tc>
          <w:tcPr>
            <w:tcW w:w="2800"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Merge w:val="restart"/>
            <w:vAlign w:val="center"/>
          </w:tcPr>
          <w:p>
            <w:pPr>
              <w:keepNext w:val="0"/>
              <w:keepLines w:val="0"/>
              <w:widowControl/>
              <w:suppressLineNumbers w:val="0"/>
              <w:jc w:val="both"/>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2558360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071" w:type="dxa"/>
            <w:vMerge w:val="continue"/>
            <w:vAlign w:val="center"/>
          </w:tcPr>
          <w:p>
            <w:pPr>
              <w:jc w:val="center"/>
              <w:rPr>
                <w:color w:val="auto"/>
                <w:vertAlign w:val="baseline"/>
              </w:rPr>
            </w:pP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机构职能</w:t>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依据“三定”方案及职责调整情况确定的本部门最新法定职能</w:t>
            </w:r>
          </w:p>
        </w:tc>
        <w:tc>
          <w:tcPr>
            <w:tcW w:w="1867" w:type="dxa"/>
            <w:vMerge w:val="continue"/>
            <w:vAlign w:val="center"/>
          </w:tcPr>
          <w:p>
            <w:pPr>
              <w:keepNext w:val="0"/>
              <w:keepLines w:val="0"/>
              <w:widowControl/>
              <w:suppressLineNumbers w:val="0"/>
              <w:jc w:val="left"/>
              <w:textAlignment w:val="center"/>
              <w:rPr>
                <w:color w:val="auto"/>
                <w:vertAlign w:val="baseline"/>
              </w:rPr>
            </w:pPr>
          </w:p>
        </w:tc>
        <w:tc>
          <w:tcPr>
            <w:tcW w:w="1183" w:type="dxa"/>
            <w:vMerge w:val="continue"/>
            <w:vAlign w:val="center"/>
          </w:tcPr>
          <w:p>
            <w:pPr>
              <w:jc w:val="center"/>
              <w:rPr>
                <w:color w:val="auto"/>
                <w:vertAlign w:val="baseline"/>
              </w:rPr>
            </w:pPr>
          </w:p>
        </w:tc>
        <w:tc>
          <w:tcPr>
            <w:tcW w:w="1867" w:type="dxa"/>
            <w:vMerge w:val="continue"/>
            <w:vAlign w:val="center"/>
          </w:tcPr>
          <w:p>
            <w:pPr>
              <w:jc w:val="center"/>
              <w:rPr>
                <w:color w:val="auto"/>
                <w:vertAlign w:val="baseline"/>
              </w:rPr>
            </w:pPr>
          </w:p>
        </w:tc>
        <w:tc>
          <w:tcPr>
            <w:tcW w:w="2800" w:type="dxa"/>
            <w:vMerge w:val="continue"/>
            <w:vAlign w:val="center"/>
          </w:tcPr>
          <w:p>
            <w:pPr>
              <w:jc w:val="center"/>
              <w:rPr>
                <w:color w:val="auto"/>
                <w:vertAlign w:val="baseline"/>
              </w:rPr>
            </w:pPr>
          </w:p>
        </w:tc>
        <w:tc>
          <w:tcPr>
            <w:tcW w:w="1317" w:type="dxa"/>
            <w:vMerge w:val="continue"/>
            <w:vAlign w:val="center"/>
          </w:tcPr>
          <w:p>
            <w:pPr>
              <w:jc w:val="center"/>
              <w:rPr>
                <w:color w:val="auto"/>
                <w:vertAlign w:val="baseline"/>
              </w:rPr>
            </w:pPr>
          </w:p>
        </w:tc>
        <w:tc>
          <w:tcPr>
            <w:tcW w:w="1483" w:type="dxa"/>
            <w:vMerge w:val="continue"/>
            <w:vAlign w:val="center"/>
          </w:tcPr>
          <w:p>
            <w:pPr>
              <w:jc w:val="both"/>
              <w:rPr>
                <w:color w:val="auto"/>
                <w:vertAlign w:val="baseline"/>
              </w:rPr>
            </w:pPr>
          </w:p>
        </w:tc>
        <w:tc>
          <w:tcPr>
            <w:tcW w:w="767" w:type="dxa"/>
            <w:vMerge w:val="continue"/>
            <w:vAlign w:val="center"/>
          </w:tcPr>
          <w:p>
            <w:pPr>
              <w:jc w:val="center"/>
              <w:rPr>
                <w:color w:val="auto"/>
                <w:vertAlign w:val="baseline"/>
              </w:rPr>
            </w:pPr>
          </w:p>
        </w:tc>
        <w:tc>
          <w:tcPr>
            <w:tcW w:w="932" w:type="dxa"/>
            <w:vMerge w:val="continue"/>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071" w:type="dxa"/>
            <w:vMerge w:val="continue"/>
            <w:vAlign w:val="center"/>
          </w:tcPr>
          <w:p>
            <w:pPr>
              <w:jc w:val="center"/>
              <w:rPr>
                <w:color w:val="auto"/>
                <w:vertAlign w:val="baseline"/>
              </w:rPr>
            </w:pP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领导分工</w:t>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领导姓名、工作职务、工作分工、标准工作照（近期1寸彩色浅底免冠照片）</w:t>
            </w:r>
          </w:p>
        </w:tc>
        <w:tc>
          <w:tcPr>
            <w:tcW w:w="1867" w:type="dxa"/>
            <w:vMerge w:val="continue"/>
            <w:vAlign w:val="center"/>
          </w:tcPr>
          <w:p>
            <w:pPr>
              <w:keepNext w:val="0"/>
              <w:keepLines w:val="0"/>
              <w:widowControl/>
              <w:suppressLineNumbers w:val="0"/>
              <w:jc w:val="left"/>
              <w:textAlignment w:val="center"/>
              <w:rPr>
                <w:color w:val="auto"/>
                <w:vertAlign w:val="baseline"/>
              </w:rPr>
            </w:pPr>
          </w:p>
        </w:tc>
        <w:tc>
          <w:tcPr>
            <w:tcW w:w="1183" w:type="dxa"/>
            <w:vMerge w:val="continue"/>
            <w:vAlign w:val="center"/>
          </w:tcPr>
          <w:p>
            <w:pPr>
              <w:jc w:val="center"/>
              <w:rPr>
                <w:color w:val="auto"/>
                <w:vertAlign w:val="baseline"/>
              </w:rPr>
            </w:pPr>
          </w:p>
        </w:tc>
        <w:tc>
          <w:tcPr>
            <w:tcW w:w="1867" w:type="dxa"/>
            <w:vMerge w:val="continue"/>
            <w:vAlign w:val="center"/>
          </w:tcPr>
          <w:p>
            <w:pPr>
              <w:jc w:val="center"/>
              <w:rPr>
                <w:color w:val="auto"/>
                <w:vertAlign w:val="baseline"/>
              </w:rPr>
            </w:pPr>
          </w:p>
        </w:tc>
        <w:tc>
          <w:tcPr>
            <w:tcW w:w="2800" w:type="dxa"/>
            <w:vMerge w:val="continue"/>
            <w:vAlign w:val="center"/>
          </w:tcPr>
          <w:p>
            <w:pPr>
              <w:jc w:val="center"/>
              <w:rPr>
                <w:color w:val="auto"/>
                <w:vertAlign w:val="baseline"/>
              </w:rPr>
            </w:pPr>
          </w:p>
        </w:tc>
        <w:tc>
          <w:tcPr>
            <w:tcW w:w="1317" w:type="dxa"/>
            <w:vMerge w:val="continue"/>
            <w:vAlign w:val="center"/>
          </w:tcPr>
          <w:p>
            <w:pPr>
              <w:jc w:val="center"/>
              <w:rPr>
                <w:color w:val="auto"/>
                <w:vertAlign w:val="baseline"/>
              </w:rPr>
            </w:pPr>
          </w:p>
        </w:tc>
        <w:tc>
          <w:tcPr>
            <w:tcW w:w="1483" w:type="dxa"/>
            <w:vMerge w:val="continue"/>
            <w:vAlign w:val="center"/>
          </w:tcPr>
          <w:p>
            <w:pPr>
              <w:jc w:val="both"/>
              <w:rPr>
                <w:color w:val="auto"/>
                <w:vertAlign w:val="baseline"/>
              </w:rPr>
            </w:pPr>
          </w:p>
        </w:tc>
        <w:tc>
          <w:tcPr>
            <w:tcW w:w="767" w:type="dxa"/>
            <w:vMerge w:val="continue"/>
            <w:vAlign w:val="center"/>
          </w:tcPr>
          <w:p>
            <w:pPr>
              <w:jc w:val="center"/>
              <w:rPr>
                <w:color w:val="auto"/>
                <w:vertAlign w:val="baseline"/>
              </w:rPr>
            </w:pPr>
          </w:p>
        </w:tc>
        <w:tc>
          <w:tcPr>
            <w:tcW w:w="932" w:type="dxa"/>
            <w:vMerge w:val="continue"/>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071" w:type="dxa"/>
            <w:vMerge w:val="continue"/>
            <w:vAlign w:val="center"/>
          </w:tcPr>
          <w:p>
            <w:pPr>
              <w:jc w:val="center"/>
              <w:rPr>
                <w:color w:val="auto"/>
                <w:vertAlign w:val="baseline"/>
              </w:rPr>
            </w:pP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内设机构</w:t>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内设机构名称、职责、办公电话</w:t>
            </w:r>
          </w:p>
        </w:tc>
        <w:tc>
          <w:tcPr>
            <w:tcW w:w="1867" w:type="dxa"/>
            <w:vMerge w:val="continue"/>
            <w:vAlign w:val="center"/>
          </w:tcPr>
          <w:p>
            <w:pPr>
              <w:keepNext w:val="0"/>
              <w:keepLines w:val="0"/>
              <w:widowControl/>
              <w:suppressLineNumbers w:val="0"/>
              <w:jc w:val="left"/>
              <w:textAlignment w:val="center"/>
              <w:rPr>
                <w:color w:val="auto"/>
                <w:vertAlign w:val="baseline"/>
              </w:rPr>
            </w:pPr>
          </w:p>
        </w:tc>
        <w:tc>
          <w:tcPr>
            <w:tcW w:w="1183" w:type="dxa"/>
            <w:vMerge w:val="continue"/>
            <w:vAlign w:val="center"/>
          </w:tcPr>
          <w:p>
            <w:pPr>
              <w:jc w:val="center"/>
              <w:rPr>
                <w:color w:val="auto"/>
                <w:vertAlign w:val="baseline"/>
              </w:rPr>
            </w:pPr>
          </w:p>
        </w:tc>
        <w:tc>
          <w:tcPr>
            <w:tcW w:w="1867" w:type="dxa"/>
            <w:vMerge w:val="continue"/>
            <w:vAlign w:val="center"/>
          </w:tcPr>
          <w:p>
            <w:pPr>
              <w:jc w:val="center"/>
              <w:rPr>
                <w:color w:val="auto"/>
                <w:vertAlign w:val="baseline"/>
              </w:rPr>
            </w:pPr>
          </w:p>
        </w:tc>
        <w:tc>
          <w:tcPr>
            <w:tcW w:w="2800" w:type="dxa"/>
            <w:vMerge w:val="continue"/>
            <w:vAlign w:val="center"/>
          </w:tcPr>
          <w:p>
            <w:pPr>
              <w:jc w:val="center"/>
              <w:rPr>
                <w:color w:val="auto"/>
                <w:vertAlign w:val="baseline"/>
              </w:rPr>
            </w:pPr>
          </w:p>
        </w:tc>
        <w:tc>
          <w:tcPr>
            <w:tcW w:w="1317" w:type="dxa"/>
            <w:vMerge w:val="continue"/>
            <w:vAlign w:val="center"/>
          </w:tcPr>
          <w:p>
            <w:pPr>
              <w:jc w:val="center"/>
              <w:rPr>
                <w:color w:val="auto"/>
                <w:vertAlign w:val="baseline"/>
              </w:rPr>
            </w:pPr>
          </w:p>
        </w:tc>
        <w:tc>
          <w:tcPr>
            <w:tcW w:w="1483" w:type="dxa"/>
            <w:vMerge w:val="continue"/>
            <w:vAlign w:val="center"/>
          </w:tcPr>
          <w:p>
            <w:pPr>
              <w:jc w:val="both"/>
              <w:rPr>
                <w:color w:val="auto"/>
                <w:vertAlign w:val="baseline"/>
              </w:rPr>
            </w:pPr>
          </w:p>
        </w:tc>
        <w:tc>
          <w:tcPr>
            <w:tcW w:w="767" w:type="dxa"/>
            <w:vMerge w:val="continue"/>
            <w:vAlign w:val="center"/>
          </w:tcPr>
          <w:p>
            <w:pPr>
              <w:jc w:val="center"/>
              <w:rPr>
                <w:color w:val="auto"/>
                <w:vertAlign w:val="baseline"/>
              </w:rPr>
            </w:pPr>
          </w:p>
        </w:tc>
        <w:tc>
          <w:tcPr>
            <w:tcW w:w="932" w:type="dxa"/>
            <w:vMerge w:val="continue"/>
            <w:vAlign w:val="center"/>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071" w:type="dxa"/>
            <w:vMerge w:val="restart"/>
            <w:vAlign w:val="center"/>
          </w:tcPr>
          <w:p>
            <w:pPr>
              <w:jc w:val="center"/>
              <w:rPr>
                <w:color w:val="auto"/>
                <w:vertAlign w:val="baseline"/>
              </w:rPr>
            </w:pPr>
            <w:r>
              <w:rPr>
                <w:rFonts w:hint="eastAsia" w:ascii="宋体" w:hAnsi="宋体" w:eastAsia="宋体" w:cs="宋体"/>
                <w:i w:val="0"/>
                <w:color w:val="auto"/>
                <w:sz w:val="20"/>
                <w:szCs w:val="20"/>
                <w:u w:val="none"/>
              </w:rPr>
              <w:t>政策文件</w:t>
            </w: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法律、行政法规、地方性法规</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国家、省有关普法宣传、法律援助、人民调解、基层法律服务、帮置安教、社区矫正、法律职业资格考试、司法鉴定、律师、公证、行政立法、行政执法监督、行政复议的法律、法规和全省有关普法宣传、法律援助、人民调解、基层法律服务、帮置安教、社区矫正、法律职业资格考试、司法鉴定、律师、公证、行政立法、行政执法监督、行政复议的地方性法规</w:t>
            </w:r>
          </w:p>
        </w:tc>
        <w:tc>
          <w:tcPr>
            <w:tcW w:w="1867"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《中华人民共和国政府信息公开条例》（国务院令第711号）、《四川省行政规范性文件管理办法》（省政府令第327号）</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183"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局机关各部门</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上级机关发布信息或信息形成（变更）5个工作日内</w:t>
            </w:r>
          </w:p>
        </w:tc>
        <w:tc>
          <w:tcPr>
            <w:tcW w:w="2800"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Merge w:val="restart"/>
            <w:vAlign w:val="center"/>
          </w:tcPr>
          <w:p>
            <w:pPr>
              <w:keepNext w:val="0"/>
              <w:keepLines w:val="0"/>
              <w:widowControl/>
              <w:suppressLineNumbers w:val="0"/>
              <w:jc w:val="both"/>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Merge w:val="restart"/>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Merge w:val="restart"/>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2558301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continue"/>
            <w:vAlign w:val="center"/>
          </w:tcPr>
          <w:p>
            <w:pPr>
              <w:jc w:val="center"/>
              <w:rPr>
                <w:color w:val="auto"/>
                <w:vertAlign w:val="baseline"/>
              </w:rPr>
            </w:pP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部门和地方规章</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国家部委和省政府、市政府有关普法宣传、法律援助、人民调解、基层法律服务、帮置安教、社区矫正、法律职业资格考试、司法鉴定、律师、公证、行政立法、行政执法监督、行政复议的规章</w:t>
            </w:r>
          </w:p>
        </w:tc>
        <w:tc>
          <w:tcPr>
            <w:tcW w:w="1867" w:type="dxa"/>
            <w:vMerge w:val="continue"/>
            <w:vAlign w:val="center"/>
          </w:tcPr>
          <w:p>
            <w:pPr>
              <w:jc w:val="center"/>
              <w:rPr>
                <w:color w:val="auto"/>
                <w:vertAlign w:val="baseline"/>
              </w:rPr>
            </w:pPr>
          </w:p>
        </w:tc>
        <w:tc>
          <w:tcPr>
            <w:tcW w:w="1183" w:type="dxa"/>
            <w:vMerge w:val="continue"/>
            <w:vAlign w:val="center"/>
          </w:tcPr>
          <w:p>
            <w:pPr>
              <w:jc w:val="center"/>
              <w:rPr>
                <w:color w:val="auto"/>
                <w:vertAlign w:val="baseline"/>
              </w:rPr>
            </w:pPr>
          </w:p>
        </w:tc>
        <w:tc>
          <w:tcPr>
            <w:tcW w:w="1867" w:type="dxa"/>
            <w:vMerge w:val="continue"/>
            <w:vAlign w:val="center"/>
          </w:tcPr>
          <w:p>
            <w:pPr>
              <w:jc w:val="center"/>
              <w:rPr>
                <w:color w:val="auto"/>
                <w:vertAlign w:val="baseline"/>
              </w:rPr>
            </w:pPr>
          </w:p>
        </w:tc>
        <w:tc>
          <w:tcPr>
            <w:tcW w:w="2800" w:type="dxa"/>
            <w:vMerge w:val="continue"/>
            <w:vAlign w:val="center"/>
          </w:tcPr>
          <w:p>
            <w:pPr>
              <w:jc w:val="center"/>
              <w:rPr>
                <w:color w:val="auto"/>
                <w:vertAlign w:val="baseline"/>
              </w:rPr>
            </w:pPr>
          </w:p>
        </w:tc>
        <w:tc>
          <w:tcPr>
            <w:tcW w:w="1317" w:type="dxa"/>
            <w:vMerge w:val="continue"/>
            <w:vAlign w:val="center"/>
          </w:tcPr>
          <w:p>
            <w:pPr>
              <w:jc w:val="center"/>
              <w:rPr>
                <w:color w:val="auto"/>
                <w:vertAlign w:val="baseline"/>
              </w:rPr>
            </w:pPr>
          </w:p>
        </w:tc>
        <w:tc>
          <w:tcPr>
            <w:tcW w:w="1483" w:type="dxa"/>
            <w:vMerge w:val="continue"/>
            <w:vAlign w:val="center"/>
          </w:tcPr>
          <w:p>
            <w:pPr>
              <w:jc w:val="both"/>
              <w:rPr>
                <w:color w:val="auto"/>
                <w:vertAlign w:val="baseline"/>
              </w:rPr>
            </w:pPr>
          </w:p>
        </w:tc>
        <w:tc>
          <w:tcPr>
            <w:tcW w:w="767" w:type="dxa"/>
            <w:vMerge w:val="continue"/>
            <w:vAlign w:val="center"/>
          </w:tcPr>
          <w:p>
            <w:pPr>
              <w:jc w:val="center"/>
              <w:rPr>
                <w:rFonts w:hint="default"/>
                <w:color w:val="auto"/>
                <w:vertAlign w:val="baseline"/>
                <w:lang w:val="en-US"/>
              </w:rPr>
            </w:pPr>
          </w:p>
        </w:tc>
        <w:tc>
          <w:tcPr>
            <w:tcW w:w="932"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continue"/>
            <w:vAlign w:val="center"/>
          </w:tcPr>
          <w:p>
            <w:pPr>
              <w:jc w:val="center"/>
              <w:rPr>
                <w:color w:val="auto"/>
                <w:vertAlign w:val="baseline"/>
              </w:rPr>
            </w:pP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司法局有关政策文件</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司法局经市委、市政府同意公开发布或司法局制定的政策性文件</w:t>
            </w:r>
          </w:p>
        </w:tc>
        <w:tc>
          <w:tcPr>
            <w:tcW w:w="1867" w:type="dxa"/>
            <w:vMerge w:val="continue"/>
            <w:vAlign w:val="center"/>
          </w:tcPr>
          <w:p>
            <w:pPr>
              <w:jc w:val="center"/>
              <w:rPr>
                <w:color w:val="auto"/>
                <w:vertAlign w:val="baseline"/>
              </w:rPr>
            </w:pPr>
          </w:p>
        </w:tc>
        <w:tc>
          <w:tcPr>
            <w:tcW w:w="1183" w:type="dxa"/>
            <w:vMerge w:val="continue"/>
            <w:vAlign w:val="center"/>
          </w:tcPr>
          <w:p>
            <w:pPr>
              <w:jc w:val="center"/>
              <w:rPr>
                <w:color w:val="auto"/>
                <w:vertAlign w:val="baseline"/>
              </w:rPr>
            </w:pPr>
          </w:p>
        </w:tc>
        <w:tc>
          <w:tcPr>
            <w:tcW w:w="1867" w:type="dxa"/>
            <w:vMerge w:val="continue"/>
            <w:vAlign w:val="center"/>
          </w:tcPr>
          <w:p>
            <w:pPr>
              <w:jc w:val="center"/>
              <w:rPr>
                <w:color w:val="auto"/>
                <w:vertAlign w:val="baseline"/>
              </w:rPr>
            </w:pPr>
          </w:p>
        </w:tc>
        <w:tc>
          <w:tcPr>
            <w:tcW w:w="2800" w:type="dxa"/>
            <w:vMerge w:val="continue"/>
            <w:vAlign w:val="center"/>
          </w:tcPr>
          <w:p>
            <w:pPr>
              <w:jc w:val="center"/>
              <w:rPr>
                <w:color w:val="auto"/>
                <w:vertAlign w:val="baseline"/>
              </w:rPr>
            </w:pPr>
          </w:p>
        </w:tc>
        <w:tc>
          <w:tcPr>
            <w:tcW w:w="1317" w:type="dxa"/>
            <w:vMerge w:val="continue"/>
            <w:vAlign w:val="center"/>
          </w:tcPr>
          <w:p>
            <w:pPr>
              <w:jc w:val="center"/>
              <w:rPr>
                <w:color w:val="auto"/>
                <w:vertAlign w:val="baseline"/>
              </w:rPr>
            </w:pPr>
          </w:p>
        </w:tc>
        <w:tc>
          <w:tcPr>
            <w:tcW w:w="1483" w:type="dxa"/>
            <w:vMerge w:val="continue"/>
            <w:vAlign w:val="center"/>
          </w:tcPr>
          <w:p>
            <w:pPr>
              <w:jc w:val="both"/>
              <w:rPr>
                <w:color w:val="auto"/>
                <w:vertAlign w:val="baseline"/>
              </w:rPr>
            </w:pPr>
          </w:p>
        </w:tc>
        <w:tc>
          <w:tcPr>
            <w:tcW w:w="767" w:type="dxa"/>
            <w:vMerge w:val="continue"/>
            <w:vAlign w:val="center"/>
          </w:tcPr>
          <w:p>
            <w:pPr>
              <w:jc w:val="center"/>
              <w:rPr>
                <w:rFonts w:hint="default"/>
                <w:color w:val="auto"/>
                <w:vertAlign w:val="baseline"/>
                <w:lang w:val="en-US"/>
              </w:rPr>
            </w:pPr>
          </w:p>
        </w:tc>
        <w:tc>
          <w:tcPr>
            <w:tcW w:w="932"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restart"/>
            <w:vAlign w:val="center"/>
          </w:tcPr>
          <w:p>
            <w:pPr>
              <w:jc w:val="center"/>
              <w:rPr>
                <w:color w:val="auto"/>
                <w:vertAlign w:val="baseline"/>
              </w:rPr>
            </w:pPr>
            <w:r>
              <w:rPr>
                <w:rFonts w:hint="eastAsia" w:ascii="宋体" w:hAnsi="宋体" w:eastAsia="宋体" w:cs="宋体"/>
                <w:i w:val="0"/>
                <w:color w:val="auto"/>
                <w:sz w:val="20"/>
                <w:szCs w:val="20"/>
                <w:u w:val="none"/>
              </w:rPr>
              <w:t>基本信息</w:t>
            </w: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规划计划</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本单位年度业务规划计划</w:t>
            </w:r>
          </w:p>
        </w:tc>
        <w:tc>
          <w:tcPr>
            <w:tcW w:w="1867" w:type="dxa"/>
            <w:vMerge w:val="restart"/>
            <w:vAlign w:val="center"/>
          </w:tcPr>
          <w:p>
            <w:pPr>
              <w:jc w:val="center"/>
              <w:rPr>
                <w:color w:val="auto"/>
                <w:vertAlign w:val="baseline"/>
              </w:rPr>
            </w:pPr>
            <w:r>
              <w:rPr>
                <w:rFonts w:hint="eastAsia" w:ascii="宋体" w:hAnsi="宋体" w:eastAsia="宋体" w:cs="宋体"/>
                <w:i w:val="0"/>
                <w:color w:val="auto"/>
                <w:sz w:val="20"/>
                <w:szCs w:val="20"/>
                <w:u w:val="none"/>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sz w:val="20"/>
                <w:szCs w:val="20"/>
                <w:u w:val="none"/>
              </w:rPr>
              <w:t>号）、《四川省人民政府办公厅关于做好人大代表建议和政协提案办理结果公开工作的通知》（川办发〔2014〕96号）</w:t>
            </w:r>
          </w:p>
        </w:tc>
        <w:tc>
          <w:tcPr>
            <w:tcW w:w="1183"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局机关各部门</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信息形成（变更）5个工作日内</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highlight w:val="none"/>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default"/>
                <w:color w:val="auto"/>
                <w:vertAlign w:val="baseline"/>
                <w:lang w:val="en-US"/>
              </w:rPr>
            </w:pPr>
            <w:r>
              <w:rPr>
                <w:rFonts w:hint="eastAsia" w:ascii="宋体" w:hAnsi="宋体" w:eastAsia="宋体" w:cs="宋体"/>
                <w:i w:val="0"/>
                <w:color w:val="auto"/>
                <w:kern w:val="0"/>
                <w:sz w:val="20"/>
                <w:szCs w:val="20"/>
                <w:u w:val="none"/>
                <w:lang w:val="en-US" w:eastAsia="zh-CN" w:bidi="ar"/>
              </w:rPr>
              <w:t>社会</w:t>
            </w:r>
          </w:p>
        </w:tc>
        <w:tc>
          <w:tcPr>
            <w:tcW w:w="932"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2558301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continue"/>
            <w:vAlign w:val="center"/>
          </w:tcPr>
          <w:p>
            <w:pPr>
              <w:jc w:val="center"/>
              <w:rPr>
                <w:color w:val="auto"/>
                <w:vertAlign w:val="baseline"/>
              </w:rPr>
            </w:pP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建议提案</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default"/>
                <w:color w:val="auto"/>
                <w:vertAlign w:val="baseline"/>
                <w:lang w:val="en-US"/>
              </w:rPr>
            </w:pPr>
            <w:r>
              <w:rPr>
                <w:rFonts w:hint="eastAsia" w:ascii="宋体" w:hAnsi="宋体" w:eastAsia="宋体" w:cs="宋体"/>
                <w:i w:val="0"/>
                <w:color w:val="auto"/>
                <w:kern w:val="0"/>
                <w:sz w:val="20"/>
                <w:szCs w:val="20"/>
                <w:u w:val="none"/>
                <w:lang w:val="en-US" w:eastAsia="zh-CN" w:bidi="ar"/>
              </w:rPr>
              <w:t>市人大代表建议答复及市政协委员提案答复</w:t>
            </w:r>
          </w:p>
        </w:tc>
        <w:tc>
          <w:tcPr>
            <w:tcW w:w="1867" w:type="dxa"/>
            <w:vMerge w:val="continue"/>
            <w:vAlign w:val="center"/>
          </w:tcPr>
          <w:p>
            <w:pPr>
              <w:jc w:val="center"/>
              <w:rPr>
                <w:color w:val="auto"/>
                <w:vertAlign w:val="baseline"/>
              </w:rPr>
            </w:pPr>
          </w:p>
        </w:tc>
        <w:tc>
          <w:tcPr>
            <w:tcW w:w="1183"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办公室</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信息形成（变更）20个工作日内</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default"/>
                <w:color w:val="auto"/>
                <w:vertAlign w:val="baseline"/>
                <w:lang w:val="en-US"/>
              </w:rPr>
            </w:pPr>
            <w:r>
              <w:rPr>
                <w:rFonts w:hint="eastAsia" w:ascii="宋体" w:hAnsi="宋体" w:eastAsia="宋体" w:cs="宋体"/>
                <w:i w:val="0"/>
                <w:color w:val="auto"/>
                <w:kern w:val="0"/>
                <w:sz w:val="20"/>
                <w:szCs w:val="20"/>
                <w:u w:val="none"/>
                <w:lang w:val="en-US" w:eastAsia="zh-CN" w:bidi="ar"/>
              </w:rPr>
              <w:t>社会</w:t>
            </w:r>
          </w:p>
        </w:tc>
        <w:tc>
          <w:tcPr>
            <w:tcW w:w="932"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2558301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restart"/>
            <w:vAlign w:val="center"/>
          </w:tcPr>
          <w:p>
            <w:pPr>
              <w:jc w:val="center"/>
              <w:rPr>
                <w:color w:val="auto"/>
                <w:vertAlign w:val="baseline"/>
              </w:rPr>
            </w:pPr>
            <w:r>
              <w:rPr>
                <w:rFonts w:hint="eastAsia" w:ascii="宋体" w:hAnsi="宋体" w:eastAsia="宋体" w:cs="宋体"/>
                <w:i w:val="0"/>
                <w:color w:val="auto"/>
                <w:sz w:val="20"/>
                <w:szCs w:val="20"/>
                <w:u w:val="none"/>
              </w:rPr>
              <w:t>政务动态</w:t>
            </w: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工作动态</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政务信息动态</w:t>
            </w:r>
          </w:p>
        </w:tc>
        <w:tc>
          <w:tcPr>
            <w:tcW w:w="1867" w:type="dxa"/>
            <w:vMerge w:val="restart"/>
            <w:vAlign w:val="center"/>
          </w:tcPr>
          <w:p>
            <w:pPr>
              <w:jc w:val="center"/>
              <w:rPr>
                <w:color w:val="auto"/>
                <w:vertAlign w:val="baseline"/>
              </w:rPr>
            </w:pPr>
            <w:r>
              <w:rPr>
                <w:rFonts w:hint="eastAsia" w:ascii="宋体" w:hAnsi="宋体" w:eastAsia="宋体" w:cs="宋体"/>
                <w:i w:val="0"/>
                <w:color w:val="auto"/>
                <w:sz w:val="20"/>
                <w:szCs w:val="20"/>
                <w:u w:val="none"/>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sz w:val="20"/>
                <w:szCs w:val="20"/>
                <w:u w:val="none"/>
              </w:rPr>
              <w:t>号）</w:t>
            </w:r>
          </w:p>
        </w:tc>
        <w:tc>
          <w:tcPr>
            <w:tcW w:w="1183"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局机关各部门</w:t>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信息形成（变更）5个工作日内</w:t>
            </w:r>
          </w:p>
        </w:tc>
        <w:tc>
          <w:tcPr>
            <w:tcW w:w="2800"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default"/>
                <w:color w:val="auto"/>
                <w:vertAlign w:val="baseline"/>
                <w:lang w:val="en-US"/>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2558301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continue"/>
            <w:vAlign w:val="center"/>
          </w:tcPr>
          <w:p>
            <w:pPr>
              <w:jc w:val="center"/>
              <w:rPr>
                <w:color w:val="auto"/>
                <w:vertAlign w:val="baseline"/>
              </w:rPr>
            </w:pP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重要会议</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各类会议</w:t>
            </w:r>
          </w:p>
        </w:tc>
        <w:tc>
          <w:tcPr>
            <w:tcW w:w="1867" w:type="dxa"/>
            <w:vMerge w:val="continue"/>
            <w:vAlign w:val="center"/>
          </w:tcPr>
          <w:p>
            <w:pPr>
              <w:jc w:val="center"/>
              <w:rPr>
                <w:color w:val="auto"/>
                <w:vertAlign w:val="baseline"/>
              </w:rPr>
            </w:pPr>
          </w:p>
        </w:tc>
        <w:tc>
          <w:tcPr>
            <w:tcW w:w="1183"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局机关各部门</w:t>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信息形成（变更）5个工作日内</w:t>
            </w:r>
          </w:p>
        </w:tc>
        <w:tc>
          <w:tcPr>
            <w:tcW w:w="2800"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default"/>
                <w:color w:val="auto"/>
                <w:vertAlign w:val="baseline"/>
                <w:lang w:val="en-US"/>
              </w:rPr>
            </w:pPr>
            <w:r>
              <w:rPr>
                <w:rFonts w:hint="eastAsia" w:ascii="宋体" w:hAnsi="宋体" w:eastAsia="宋体" w:cs="宋体"/>
                <w:i w:val="0"/>
                <w:color w:val="auto"/>
                <w:kern w:val="0"/>
                <w:sz w:val="20"/>
                <w:szCs w:val="20"/>
                <w:u w:val="none"/>
                <w:lang w:val="en-US" w:eastAsia="zh-CN" w:bidi="ar"/>
              </w:rPr>
              <w:t>社会</w:t>
            </w:r>
          </w:p>
        </w:tc>
        <w:tc>
          <w:tcPr>
            <w:tcW w:w="932"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2558301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continue"/>
            <w:vAlign w:val="center"/>
          </w:tcPr>
          <w:p>
            <w:pPr>
              <w:jc w:val="center"/>
              <w:rPr>
                <w:color w:val="auto"/>
                <w:vertAlign w:val="baseline"/>
              </w:rPr>
            </w:pPr>
          </w:p>
        </w:tc>
        <w:tc>
          <w:tcPr>
            <w:tcW w:w="3934"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公示公告</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公示公告类信息</w:t>
            </w:r>
          </w:p>
        </w:tc>
        <w:tc>
          <w:tcPr>
            <w:tcW w:w="1867" w:type="dxa"/>
            <w:vMerge w:val="continue"/>
            <w:vAlign w:val="center"/>
          </w:tcPr>
          <w:p>
            <w:pPr>
              <w:jc w:val="center"/>
              <w:rPr>
                <w:color w:val="auto"/>
                <w:vertAlign w:val="baseline"/>
              </w:rPr>
            </w:pPr>
          </w:p>
        </w:tc>
        <w:tc>
          <w:tcPr>
            <w:tcW w:w="1183"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局机关各部门</w:t>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信息形成（变更）5个工作日内</w:t>
            </w:r>
          </w:p>
        </w:tc>
        <w:tc>
          <w:tcPr>
            <w:tcW w:w="2800"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default"/>
                <w:color w:val="auto"/>
                <w:vertAlign w:val="baseline"/>
                <w:lang w:val="en-US"/>
              </w:rPr>
            </w:pPr>
            <w:r>
              <w:rPr>
                <w:rFonts w:hint="eastAsia" w:ascii="宋体" w:hAnsi="宋体" w:eastAsia="宋体" w:cs="宋体"/>
                <w:i w:val="0"/>
                <w:color w:val="auto"/>
                <w:kern w:val="0"/>
                <w:sz w:val="20"/>
                <w:szCs w:val="20"/>
                <w:u w:val="none"/>
                <w:lang w:val="en-US" w:eastAsia="zh-CN" w:bidi="ar"/>
              </w:rPr>
              <w:t>社会</w:t>
            </w:r>
          </w:p>
        </w:tc>
        <w:tc>
          <w:tcPr>
            <w:tcW w:w="932"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2558301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071" w:type="dxa"/>
            <w:vMerge w:val="restart"/>
            <w:vAlign w:val="center"/>
          </w:tcPr>
          <w:p>
            <w:pPr>
              <w:jc w:val="center"/>
              <w:rPr>
                <w:color w:val="auto"/>
                <w:vertAlign w:val="baseline"/>
              </w:rPr>
            </w:pPr>
            <w:r>
              <w:rPr>
                <w:rFonts w:hint="eastAsia" w:ascii="宋体" w:hAnsi="宋体" w:eastAsia="宋体" w:cs="宋体"/>
                <w:i w:val="0"/>
                <w:color w:val="auto"/>
                <w:sz w:val="20"/>
                <w:szCs w:val="20"/>
                <w:u w:val="none"/>
              </w:rPr>
              <w:t>财政资金</w:t>
            </w: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预决算 </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公开年度部门预（决）算情况说明</w:t>
            </w:r>
          </w:p>
        </w:tc>
        <w:tc>
          <w:tcPr>
            <w:tcW w:w="1867" w:type="dxa"/>
            <w:vMerge w:val="restart"/>
            <w:vAlign w:val="center"/>
          </w:tcPr>
          <w:p>
            <w:pPr>
              <w:jc w:val="center"/>
              <w:rPr>
                <w:color w:val="auto"/>
                <w:vertAlign w:val="baseline"/>
              </w:rPr>
            </w:pPr>
            <w:r>
              <w:rPr>
                <w:rFonts w:hint="eastAsia" w:ascii="宋体" w:hAnsi="宋体" w:eastAsia="宋体" w:cs="宋体"/>
                <w:i w:val="0"/>
                <w:color w:val="auto"/>
                <w:sz w:val="20"/>
                <w:szCs w:val="20"/>
                <w:u w:val="none"/>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sz w:val="20"/>
                <w:szCs w:val="20"/>
                <w:u w:val="none"/>
              </w:rPr>
              <w:t>号）、《财政部关于推进省以下预决算公开工作的通知》（财预〔2013〕309号）</w:t>
            </w:r>
          </w:p>
        </w:tc>
        <w:tc>
          <w:tcPr>
            <w:tcW w:w="1183" w:type="dxa"/>
            <w:vMerge w:val="restart"/>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办公室</w:t>
            </w:r>
          </w:p>
        </w:tc>
        <w:tc>
          <w:tcPr>
            <w:tcW w:w="1867" w:type="dxa"/>
            <w:vMerge w:val="restart"/>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信息形成（变更）20个工作日内</w:t>
            </w:r>
          </w:p>
        </w:tc>
        <w:tc>
          <w:tcPr>
            <w:tcW w:w="2800" w:type="dxa"/>
            <w:vMerge w:val="restart"/>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Merge w:val="restart"/>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Merge w:val="restart"/>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Merge w:val="restart"/>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p>
        </w:tc>
        <w:tc>
          <w:tcPr>
            <w:tcW w:w="932" w:type="dxa"/>
            <w:vMerge w:val="restart"/>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2558313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071" w:type="dxa"/>
            <w:vMerge w:val="continue"/>
            <w:vAlign w:val="center"/>
          </w:tcPr>
          <w:p>
            <w:pPr>
              <w:keepNext w:val="0"/>
              <w:keepLines w:val="0"/>
              <w:widowControl/>
              <w:suppressLineNumbers w:val="0"/>
              <w:jc w:val="left"/>
              <w:textAlignment w:val="center"/>
              <w:rPr>
                <w:color w:val="auto"/>
              </w:rPr>
            </w:pPr>
          </w:p>
        </w:tc>
        <w:tc>
          <w:tcPr>
            <w:tcW w:w="3934" w:type="dxa"/>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0"/>
                <w:szCs w:val="20"/>
                <w:u w:val="none"/>
                <w:lang w:val="en-US" w:eastAsia="zh-CN" w:bidi="ar"/>
              </w:rPr>
              <w:t>“三公”经费</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“三公”经费预（决）算情况说明</w:t>
            </w:r>
          </w:p>
        </w:tc>
        <w:tc>
          <w:tcPr>
            <w:tcW w:w="1867"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c>
          <w:tcPr>
            <w:tcW w:w="1183"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c>
          <w:tcPr>
            <w:tcW w:w="1867"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c>
          <w:tcPr>
            <w:tcW w:w="2800"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c>
          <w:tcPr>
            <w:tcW w:w="1317"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c>
          <w:tcPr>
            <w:tcW w:w="1483" w:type="dxa"/>
            <w:vMerge w:val="continue"/>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p>
        </w:tc>
        <w:tc>
          <w:tcPr>
            <w:tcW w:w="767"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c>
          <w:tcPr>
            <w:tcW w:w="932"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sz w:val="20"/>
                <w:szCs w:val="20"/>
                <w:u w:val="none"/>
              </w:rPr>
              <w:t>双公示</w:t>
            </w: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行政许可</w:t>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行政许可信息</w:t>
            </w:r>
          </w:p>
        </w:tc>
        <w:tc>
          <w:tcPr>
            <w:tcW w:w="1867" w:type="dxa"/>
            <w:vMerge w:val="restart"/>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sz w:val="20"/>
                <w:szCs w:val="20"/>
                <w:u w:val="none"/>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sz w:val="20"/>
                <w:szCs w:val="20"/>
                <w:u w:val="none"/>
              </w:rPr>
              <w:t>号）、《四川省人民政府办公厅关于印发四川省行政许可和行政处罚等信用信息</w:t>
            </w:r>
            <w:r>
              <w:rPr>
                <w:rFonts w:hint="eastAsia" w:ascii="宋体" w:hAnsi="宋体" w:eastAsia="宋体" w:cs="宋体"/>
                <w:i w:val="0"/>
                <w:color w:val="auto"/>
                <w:sz w:val="20"/>
                <w:szCs w:val="20"/>
                <w:u w:val="none"/>
                <w:lang w:val="en-US" w:eastAsia="zh-CN"/>
              </w:rPr>
              <w:t>双</w:t>
            </w:r>
            <w:r>
              <w:rPr>
                <w:rFonts w:hint="eastAsia" w:ascii="宋体" w:hAnsi="宋体" w:eastAsia="宋体" w:cs="宋体"/>
                <w:i w:val="0"/>
                <w:color w:val="auto"/>
                <w:sz w:val="20"/>
                <w:szCs w:val="20"/>
                <w:u w:val="none"/>
              </w:rPr>
              <w:t>公示工作实施方案的通知》（川办函〔2016〕81号）</w:t>
            </w:r>
          </w:p>
        </w:tc>
        <w:tc>
          <w:tcPr>
            <w:tcW w:w="1183" w:type="dxa"/>
            <w:vMerge w:val="restart"/>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公共法律服务管理科、律师工作管理科</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自作出决定之日起7个工作日内</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Merge w:val="restart"/>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律师：2558359</w:t>
            </w:r>
          </w:p>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公共法律服务：5755808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行政处罚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行政处罚信息</w:t>
            </w:r>
          </w:p>
        </w:tc>
        <w:tc>
          <w:tcPr>
            <w:tcW w:w="1867"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c>
          <w:tcPr>
            <w:tcW w:w="1183" w:type="dxa"/>
            <w:vMerge w:val="continue"/>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自作出决定之日起7个工作日内</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Merge w:val="continue"/>
            <w:tcBorders/>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行政许可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共13项）律师事务所（分所）设立、变更、注销许可；律师执业、变更、注销许可；港澳台律师事务所驻内地或大陆代表机构设立、变更、注销许可；港澳台律师事务所驻内地或大陆代表机构派驻代表执业、变更许可；对司法部关于外国律师事务所驻华代表机构设立、变更、注销许可的初审；对司法部关于外国律师事务所驻华代表机构派驻代表执业、变更许可的初审；香港、澳门永久性居民中的中国居民申请在内地从事律师职业核准；台湾居民申请在大陆从事律师职业许可；香港、澳门律师事务所与内地律师事务所联营核准；公证员执业、变更许可；仲裁委员会设立、变更、注销登记；司法鉴定机构及其分支机构设立、变更、注销登记；司法鉴定人执业、变更、注销登记</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每一项行政许可的事项来源、权力来源、法定办结时限、行使层级、审查类型、实施主体、受理条件、申请材料、办理流程、设定依据、收费标准、常见问题等内容</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kern w:val="0"/>
                <w:sz w:val="20"/>
                <w:szCs w:val="20"/>
                <w:u w:val="none"/>
                <w:lang w:val="en-US" w:eastAsia="zh-CN" w:bidi="ar"/>
              </w:rPr>
              <w:t>号）、《四川省行政权力指导清单（2018年本）》</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18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公共法律服务管理科、律师工作管理科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自作出决定之日起7个工作日内</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律师、律师事务所：2558359</w:t>
            </w:r>
          </w:p>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公共法律服务：5755808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行政处罚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（共4项）对律师、律师事务所严重违法行为的处罚；对国外、香港、澳门律师事务所驻华（驻内地）代表机构或代表以 及与香港、澳门律师事务所联营的内地律师事务所违法行为的处罚；对公证机构、公证员违法行为的处罚；对司法鉴定机构或者司法鉴定人违法行为的处罚；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每一项行政处罚的实施主体、咨询电话、监督投诉电话、法定依据、流程图、违法情节、处罚种类等内容</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kern w:val="0"/>
                <w:sz w:val="20"/>
                <w:szCs w:val="20"/>
                <w:u w:val="none"/>
                <w:lang w:val="en-US" w:eastAsia="zh-CN" w:bidi="ar"/>
              </w:rPr>
              <w:t>号）、《四川省行政权力指导清单（2018年本）》</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18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公共法律服务管理科、律师工作管理科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自作出决定之日起7个工作日内</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Merge w:val="continue"/>
            <w:tcBorders/>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行政检查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（共2项）对司法鉴定机构或者司法鉴定人的监督检查；对公证机构、公证员的监督检查；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每一项行政检查的实施主体、咨询电话、监督反诉电话、法定依据、流程图、违法情节、处罚种类等内容</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kern w:val="0"/>
                <w:sz w:val="20"/>
                <w:szCs w:val="20"/>
                <w:u w:val="none"/>
                <w:lang w:val="en-US" w:eastAsia="zh-CN" w:bidi="ar"/>
              </w:rPr>
              <w:t>号）、《四川省行政权力指导清单（2018年本）》</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18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公共法律服务管理科</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自作出决定之日起20个工作日内</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5755808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行政奖励</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（共3项）对人民调解委员会和人民调解员的表彰奖励；对基层法律服务所、基层法律服务工作者的表彰奖励 ；对法律援助服务机构和法律援助人员的表彰奖励；对普法先进集体和先进个人的表彰奖励</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实施主体、咨询电话、监督反诉电话、法定依据、条款内容、条件、流程图、奖励类型和标准等内容</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kern w:val="0"/>
                <w:sz w:val="20"/>
                <w:szCs w:val="20"/>
                <w:u w:val="none"/>
                <w:lang w:val="en-US" w:eastAsia="zh-CN" w:bidi="ar"/>
              </w:rPr>
              <w:t>号）、《四川省行政权力指导清单（2018年本）》</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18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人民参与和促进法治科、公共法律服务管理科、律师工作管理科、普法宣传科</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自作出决定之日起20个工作日内</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人民调解：2558336</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基层法律服务所、法律服务工作者：2558348</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法律援助：2558333</w:t>
            </w:r>
          </w:p>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普法宣传：2558356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其他行政权力</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对法律职业资格考试人员违纪行为处理</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其他类行政权力的行使层级、事项来源、权力来源、审查类型、实施主体、办理时限、运行系统、申请材料、受理条件、办理流程、常见问题等内容</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kern w:val="0"/>
                <w:sz w:val="20"/>
                <w:szCs w:val="20"/>
                <w:u w:val="none"/>
                <w:lang w:val="en-US" w:eastAsia="zh-CN" w:bidi="ar"/>
              </w:rPr>
              <w:t>号）、《四川省行政权力指导清单（2018年本）》</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18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律师工作管理科</w:t>
            </w: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自作出决定之日起20个工作日内</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932"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2558348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公共服务</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司法行政公共服务</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法律援助、</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律师及律所业务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公证服务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司法鉴定服务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法律职业资格考试业务咨询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基层法律服务所及基层法律服务工作者信息查询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人民调解业务信息查询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普法宣传</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0"/>
                <w:szCs w:val="20"/>
                <w:u w:val="none"/>
                <w:lang w:val="en-US" w:eastAsia="zh-CN" w:bidi="ar"/>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kern w:val="0"/>
                <w:sz w:val="20"/>
                <w:szCs w:val="20"/>
                <w:u w:val="none"/>
                <w:lang w:val="en-US" w:eastAsia="zh-CN" w:bidi="ar"/>
              </w:rPr>
              <w:t>号）、《四川省公共服务事项目录（2018年版）》</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18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局机关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相关部门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实时服务</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p>
        </w:tc>
        <w:tc>
          <w:tcPr>
            <w:tcW w:w="93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在线实时咨询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4" w:hRule="atLeast"/>
        </w:trPr>
        <w:tc>
          <w:tcPr>
            <w:tcW w:w="1071"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sz w:val="20"/>
                <w:szCs w:val="20"/>
                <w:u w:val="none"/>
              </w:rPr>
              <w:t>依申请公开和年度报告</w:t>
            </w: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信息公开年度年报</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年度政府信息公开工作报告</w:t>
            </w:r>
          </w:p>
        </w:tc>
        <w:tc>
          <w:tcPr>
            <w:tcW w:w="1867" w:type="dxa"/>
            <w:vMerge w:val="restart"/>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sz w:val="20"/>
                <w:szCs w:val="20"/>
                <w:u w:val="none"/>
              </w:rPr>
              <w:t>《中华人民共和国政府信息公开条例》（国务院令第</w:t>
            </w:r>
            <w:r>
              <w:rPr>
                <w:rFonts w:hint="eastAsia" w:ascii="宋体" w:hAnsi="宋体" w:eastAsia="宋体" w:cs="宋体"/>
                <w:i w:val="0"/>
                <w:color w:val="auto"/>
                <w:sz w:val="20"/>
                <w:szCs w:val="20"/>
                <w:u w:val="none"/>
                <w:lang w:val="en-US" w:eastAsia="zh-CN"/>
              </w:rPr>
              <w:t>711</w:t>
            </w:r>
            <w:r>
              <w:rPr>
                <w:rFonts w:hint="eastAsia" w:ascii="宋体" w:hAnsi="宋体" w:eastAsia="宋体" w:cs="宋体"/>
                <w:i w:val="0"/>
                <w:color w:val="auto"/>
                <w:sz w:val="20"/>
                <w:szCs w:val="20"/>
                <w:u w:val="none"/>
              </w:rPr>
              <w:t>号）</w:t>
            </w:r>
          </w:p>
        </w:tc>
        <w:tc>
          <w:tcPr>
            <w:tcW w:w="118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办公室</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3月31日前</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 □政府公报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□政务微博 □政务微信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□移动客户端 □微视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□手机短信推送 □电视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□广播 □报刊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□信息公告栏 □电子信息屏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□政务服务中心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□便民服务中心 □便民服务点（室）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□图书馆 □档案馆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■主动公开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□依申请公开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□不予公开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□预公开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■全文发布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□脱密（脱敏）公开</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□政策解读</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□现场宣讲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□其他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fldChar w:fldCharType="begin"/>
            </w:r>
            <w:r>
              <w:rPr>
                <w:rFonts w:hint="eastAsia" w:ascii="宋体" w:hAnsi="宋体" w:eastAsia="宋体" w:cs="宋体"/>
                <w:i w:val="0"/>
                <w:color w:val="auto"/>
                <w:kern w:val="0"/>
                <w:sz w:val="20"/>
                <w:szCs w:val="20"/>
                <w:u w:val="none"/>
                <w:lang w:val="en-US" w:eastAsia="zh-CN" w:bidi="ar"/>
              </w:rPr>
              <w:instrText xml:space="preserve">EQ \* jc3 \* "Font:宋体" \* hps21 \o\al(\s\up 9(),)</w:instrText>
            </w:r>
            <w:r>
              <w:rPr>
                <w:rFonts w:hint="eastAsia" w:ascii="宋体" w:hAnsi="宋体" w:eastAsia="宋体" w:cs="宋体"/>
                <w:i w:val="0"/>
                <w:color w:val="auto"/>
                <w:kern w:val="0"/>
                <w:sz w:val="20"/>
                <w:szCs w:val="20"/>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w:t>
            </w:r>
          </w:p>
        </w:tc>
        <w:tc>
          <w:tcPr>
            <w:tcW w:w="932"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2558301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71"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3934"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依申请公开</w:t>
            </w:r>
            <w:r>
              <w:rPr>
                <w:rFonts w:hint="eastAsia" w:ascii="宋体" w:hAnsi="宋体" w:eastAsia="宋体" w:cs="宋体"/>
                <w:i w:val="0"/>
                <w:color w:val="auto"/>
                <w:kern w:val="0"/>
                <w:sz w:val="20"/>
                <w:szCs w:val="20"/>
                <w:highlight w:val="none"/>
                <w:u w:val="none"/>
                <w:lang w:val="en-US" w:eastAsia="zh-CN" w:bidi="ar"/>
              </w:rPr>
              <w:fldChar w:fldCharType="begin"/>
            </w:r>
            <w:r>
              <w:rPr>
                <w:rFonts w:hint="eastAsia" w:ascii="宋体" w:hAnsi="宋体" w:eastAsia="宋体" w:cs="宋体"/>
                <w:i w:val="0"/>
                <w:color w:val="auto"/>
                <w:kern w:val="0"/>
                <w:sz w:val="20"/>
                <w:szCs w:val="20"/>
                <w:highlight w:val="none"/>
                <w:u w:val="none"/>
                <w:lang w:val="en-US" w:eastAsia="zh-CN" w:bidi="ar"/>
              </w:rPr>
              <w:instrText xml:space="preserve">EQ \* jc3 \* "Font:宋体" \* hps21 \o\al(\s\up 9(),)</w:instrText>
            </w:r>
            <w:r>
              <w:rPr>
                <w:rFonts w:hint="eastAsia" w:ascii="宋体" w:hAnsi="宋体" w:eastAsia="宋体" w:cs="宋体"/>
                <w:i w:val="0"/>
                <w:color w:val="auto"/>
                <w:kern w:val="0"/>
                <w:sz w:val="20"/>
                <w:szCs w:val="20"/>
                <w:highlight w:val="none"/>
                <w:u w:val="none"/>
                <w:lang w:val="en-US" w:eastAsia="zh-CN" w:bidi="ar"/>
              </w:rPr>
              <w:fldChar w:fldCharType="end"/>
            </w:r>
          </w:p>
        </w:tc>
        <w:tc>
          <w:tcPr>
            <w:tcW w:w="353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依申请公开</w:t>
            </w:r>
          </w:p>
        </w:tc>
        <w:tc>
          <w:tcPr>
            <w:tcW w:w="1867" w:type="dxa"/>
            <w:vMerge w:val="continue"/>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p>
        </w:tc>
        <w:tc>
          <w:tcPr>
            <w:tcW w:w="118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办</w:t>
            </w:r>
            <w:bookmarkStart w:id="0" w:name="_GoBack"/>
            <w:r>
              <w:rPr>
                <w:rFonts w:hint="eastAsia" w:ascii="宋体" w:hAnsi="宋体" w:eastAsia="宋体" w:cs="宋体"/>
                <w:i w:val="0"/>
                <w:color w:val="auto"/>
                <w:kern w:val="0"/>
                <w:sz w:val="20"/>
                <w:szCs w:val="20"/>
                <w:highlight w:val="none"/>
                <w:u w:val="none"/>
                <w:lang w:val="en-US" w:eastAsia="zh-CN" w:bidi="ar"/>
              </w:rPr>
              <w:t xml:space="preserve">公室 </w:t>
            </w:r>
            <w:bookmarkEnd w:id="0"/>
            <w:r>
              <w:rPr>
                <w:rFonts w:hint="eastAsia" w:ascii="宋体" w:hAnsi="宋体" w:eastAsia="宋体" w:cs="宋体"/>
                <w:i w:val="0"/>
                <w:color w:val="auto"/>
                <w:kern w:val="0"/>
                <w:sz w:val="20"/>
                <w:szCs w:val="20"/>
                <w:highlight w:val="none"/>
                <w:u w:val="none"/>
                <w:lang w:val="en-US" w:eastAsia="zh-CN" w:bidi="ar"/>
              </w:rPr>
              <w:fldChar w:fldCharType="begin"/>
            </w:r>
            <w:r>
              <w:rPr>
                <w:rFonts w:hint="eastAsia" w:ascii="宋体" w:hAnsi="宋体" w:eastAsia="宋体" w:cs="宋体"/>
                <w:i w:val="0"/>
                <w:color w:val="auto"/>
                <w:kern w:val="0"/>
                <w:sz w:val="20"/>
                <w:szCs w:val="20"/>
                <w:highlight w:val="none"/>
                <w:u w:val="none"/>
                <w:lang w:val="en-US" w:eastAsia="zh-CN" w:bidi="ar"/>
              </w:rPr>
              <w:instrText xml:space="preserve">EQ \* jc3 \* "Font:宋体" \* hps21 \o\al(\s\up 9(),)</w:instrText>
            </w:r>
            <w:r>
              <w:rPr>
                <w:rFonts w:hint="eastAsia" w:ascii="宋体" w:hAnsi="宋体" w:eastAsia="宋体" w:cs="宋体"/>
                <w:i w:val="0"/>
                <w:color w:val="auto"/>
                <w:kern w:val="0"/>
                <w:sz w:val="20"/>
                <w:szCs w:val="20"/>
                <w:highlight w:val="none"/>
                <w:u w:val="none"/>
                <w:lang w:val="en-US" w:eastAsia="zh-CN" w:bidi="ar"/>
              </w:rPr>
              <w:fldChar w:fldCharType="end"/>
            </w:r>
          </w:p>
        </w:tc>
        <w:tc>
          <w:tcPr>
            <w:tcW w:w="18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信息形成（变更）5个工作日内</w:t>
            </w:r>
            <w:r>
              <w:rPr>
                <w:rFonts w:hint="eastAsia" w:ascii="宋体" w:hAnsi="宋体" w:eastAsia="宋体" w:cs="宋体"/>
                <w:i w:val="0"/>
                <w:color w:val="auto"/>
                <w:kern w:val="0"/>
                <w:sz w:val="20"/>
                <w:szCs w:val="20"/>
                <w:highlight w:val="none"/>
                <w:u w:val="none"/>
                <w:lang w:val="en-US" w:eastAsia="zh-CN" w:bidi="ar"/>
              </w:rPr>
              <w:fldChar w:fldCharType="begin"/>
            </w:r>
            <w:r>
              <w:rPr>
                <w:rFonts w:hint="eastAsia" w:ascii="宋体" w:hAnsi="宋体" w:eastAsia="宋体" w:cs="宋体"/>
                <w:i w:val="0"/>
                <w:color w:val="auto"/>
                <w:kern w:val="0"/>
                <w:sz w:val="20"/>
                <w:szCs w:val="20"/>
                <w:highlight w:val="none"/>
                <w:u w:val="none"/>
                <w:lang w:val="en-US" w:eastAsia="zh-CN" w:bidi="ar"/>
              </w:rPr>
              <w:instrText xml:space="preserve">EQ \* jc3 \* "Font:宋体" \* hps21 \o\al(\s\up 9(),)</w:instrText>
            </w:r>
            <w:r>
              <w:rPr>
                <w:rFonts w:hint="eastAsia" w:ascii="宋体" w:hAnsi="宋体" w:eastAsia="宋体" w:cs="宋体"/>
                <w:i w:val="0"/>
                <w:color w:val="auto"/>
                <w:kern w:val="0"/>
                <w:sz w:val="20"/>
                <w:szCs w:val="20"/>
                <w:highlight w:val="none"/>
                <w:u w:val="none"/>
                <w:lang w:val="en-US" w:eastAsia="zh-CN" w:bidi="ar"/>
              </w:rPr>
              <w:fldChar w:fldCharType="end"/>
            </w:r>
          </w:p>
        </w:tc>
        <w:tc>
          <w:tcPr>
            <w:tcW w:w="280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■政府网站 □政府公报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□政务微博 □政务微信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□移动客户端 □微视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□手机短信推送 □电视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□广播 □报刊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□信息公告栏 □电子信息屏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□政务服务中心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□便民服务中心 □便民服务点（室）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□图书馆 □档案馆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r>
              <w:rPr>
                <w:rFonts w:hint="eastAsia" w:ascii="宋体" w:hAnsi="宋体" w:eastAsia="宋体" w:cs="宋体"/>
                <w:i w:val="0"/>
                <w:color w:val="auto"/>
                <w:kern w:val="0"/>
                <w:sz w:val="20"/>
                <w:szCs w:val="20"/>
                <w:highlight w:val="none"/>
                <w:u w:val="none"/>
                <w:lang w:val="en-US" w:eastAsia="zh-CN" w:bidi="ar"/>
              </w:rPr>
              <w:fldChar w:fldCharType="begin"/>
            </w:r>
            <w:r>
              <w:rPr>
                <w:rFonts w:hint="eastAsia" w:ascii="宋体" w:hAnsi="宋体" w:eastAsia="宋体" w:cs="宋体"/>
                <w:i w:val="0"/>
                <w:color w:val="auto"/>
                <w:kern w:val="0"/>
                <w:sz w:val="20"/>
                <w:szCs w:val="20"/>
                <w:highlight w:val="none"/>
                <w:u w:val="none"/>
                <w:lang w:val="en-US" w:eastAsia="zh-CN" w:bidi="ar"/>
              </w:rPr>
              <w:instrText xml:space="preserve">EQ \* jc3 \* "Font:宋体" \* hps21 \o\al(\s\up 9(),)</w:instrText>
            </w:r>
            <w:r>
              <w:rPr>
                <w:rFonts w:hint="eastAsia" w:ascii="宋体" w:hAnsi="宋体" w:eastAsia="宋体" w:cs="宋体"/>
                <w:i w:val="0"/>
                <w:color w:val="auto"/>
                <w:kern w:val="0"/>
                <w:sz w:val="20"/>
                <w:szCs w:val="20"/>
                <w:highlight w:val="none"/>
                <w:u w:val="none"/>
                <w:lang w:val="en-US" w:eastAsia="zh-CN" w:bidi="ar"/>
              </w:rPr>
              <w:fldChar w:fldCharType="end"/>
            </w:r>
          </w:p>
        </w:tc>
        <w:tc>
          <w:tcPr>
            <w:tcW w:w="131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■主动公开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□依申请公开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□不予公开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fldChar w:fldCharType="begin"/>
            </w:r>
            <w:r>
              <w:rPr>
                <w:rFonts w:hint="eastAsia" w:ascii="宋体" w:hAnsi="宋体" w:eastAsia="宋体" w:cs="宋体"/>
                <w:i w:val="0"/>
                <w:color w:val="auto"/>
                <w:kern w:val="0"/>
                <w:sz w:val="20"/>
                <w:szCs w:val="20"/>
                <w:highlight w:val="none"/>
                <w:u w:val="none"/>
                <w:lang w:val="en-US" w:eastAsia="zh-CN" w:bidi="ar"/>
              </w:rPr>
              <w:instrText xml:space="preserve">EQ \* jc3 \* "Font:宋体" \* hps21 \o\al(\s\up 9(),)</w:instrText>
            </w:r>
            <w:r>
              <w:rPr>
                <w:rFonts w:hint="eastAsia" w:ascii="宋体" w:hAnsi="宋体" w:eastAsia="宋体" w:cs="宋体"/>
                <w:i w:val="0"/>
                <w:color w:val="auto"/>
                <w:kern w:val="0"/>
                <w:sz w:val="20"/>
                <w:szCs w:val="20"/>
                <w:highlight w:val="none"/>
                <w:u w:val="none"/>
                <w:lang w:val="en-US" w:eastAsia="zh-CN" w:bidi="ar"/>
              </w:rPr>
              <w:fldChar w:fldCharType="end"/>
            </w:r>
          </w:p>
        </w:tc>
        <w:tc>
          <w:tcPr>
            <w:tcW w:w="148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□预公开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■全文发布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□脱密（脱敏）公开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□政策解读</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□现场宣讲</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□其他</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fldChar w:fldCharType="begin"/>
            </w:r>
            <w:r>
              <w:rPr>
                <w:rFonts w:hint="eastAsia" w:ascii="宋体" w:hAnsi="宋体" w:eastAsia="宋体" w:cs="宋体"/>
                <w:i w:val="0"/>
                <w:color w:val="auto"/>
                <w:kern w:val="0"/>
                <w:sz w:val="20"/>
                <w:szCs w:val="20"/>
                <w:highlight w:val="none"/>
                <w:u w:val="none"/>
                <w:lang w:val="en-US" w:eastAsia="zh-CN" w:bidi="ar"/>
              </w:rPr>
              <w:instrText xml:space="preserve">EQ \* jc3 \* "Font:宋体" \* hps21 \o\al(\s\up 9(),)</w:instrText>
            </w:r>
            <w:r>
              <w:rPr>
                <w:rFonts w:hint="eastAsia" w:ascii="宋体" w:hAnsi="宋体" w:eastAsia="宋体" w:cs="宋体"/>
                <w:i w:val="0"/>
                <w:color w:val="auto"/>
                <w:kern w:val="0"/>
                <w:sz w:val="20"/>
                <w:szCs w:val="20"/>
                <w:highlight w:val="none"/>
                <w:u w:val="none"/>
                <w:lang w:val="en-US" w:eastAsia="zh-CN" w:bidi="ar"/>
              </w:rPr>
              <w:fldChar w:fldCharType="end"/>
            </w:r>
          </w:p>
        </w:tc>
        <w:tc>
          <w:tcPr>
            <w:tcW w:w="76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社会</w:t>
            </w:r>
          </w:p>
        </w:tc>
        <w:tc>
          <w:tcPr>
            <w:tcW w:w="93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2558301</w:t>
            </w:r>
          </w:p>
        </w:tc>
      </w:tr>
    </w:tbl>
    <w:p>
      <w:pPr>
        <w:jc w:val="center"/>
        <w:rPr>
          <w:rFonts w:hint="eastAsia" w:ascii="方正小标宋简体" w:hAnsi="方正小标宋简体" w:eastAsia="方正小标宋简体" w:cs="方正小标宋简体"/>
          <w:sz w:val="44"/>
          <w:szCs w:val="44"/>
        </w:rPr>
      </w:pPr>
    </w:p>
    <w:sectPr>
      <w:pgSz w:w="23811" w:h="16838"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33D26"/>
    <w:rsid w:val="096406DB"/>
    <w:rsid w:val="0B11610B"/>
    <w:rsid w:val="12F42E70"/>
    <w:rsid w:val="1EF67541"/>
    <w:rsid w:val="2410211D"/>
    <w:rsid w:val="25A579C4"/>
    <w:rsid w:val="31E26E20"/>
    <w:rsid w:val="3E7F14DA"/>
    <w:rsid w:val="429E5993"/>
    <w:rsid w:val="4F793D2C"/>
    <w:rsid w:val="50BC5E26"/>
    <w:rsid w:val="569F613F"/>
    <w:rsid w:val="56D112FF"/>
    <w:rsid w:val="5EE6192D"/>
    <w:rsid w:val="605968C5"/>
    <w:rsid w:val="62AE4622"/>
    <w:rsid w:val="6640247A"/>
    <w:rsid w:val="66987E0F"/>
    <w:rsid w:val="695944FE"/>
    <w:rsid w:val="6A602DBE"/>
    <w:rsid w:val="6AD06BCD"/>
    <w:rsid w:val="6C2C403F"/>
    <w:rsid w:val="73A02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
    <w:name w:val="常规1"/>
    <w:basedOn w:val="2"/>
    <w:qFormat/>
    <w:uiPriority w:val="0"/>
    <w:pPr>
      <w:textAlignment w:val="bottom"/>
    </w:pPr>
    <w:rPr>
      <w:rFonts w:hint="eastAsia" w:ascii="宋体" w:hAnsi="宋体" w:eastAsia="宋体" w:cs="宋体"/>
      <w:color w:val="000000"/>
      <w:sz w:val="22"/>
      <w:szCs w:val="22"/>
      <w:u w:val="none"/>
    </w:rPr>
    <w:tblPr>
      <w:tblLayout w:type="fixed"/>
    </w:tblPr>
    <w:tcPr>
      <w:tcBorders>
        <w:top w:val="nil"/>
        <w:left w:val="nil"/>
        <w:bottom w:val="nil"/>
        <w:right w:val="nil"/>
      </w:tcBorders>
      <w:noWrap/>
      <w:vAlign w:val="bottom"/>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2019-04-23T07:33:57Z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