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adjustRightInd w:val="0"/>
        <w:snapToGrid w:val="0"/>
        <w:spacing w:line="580" w:lineRule="exact"/>
        <w:jc w:val="center"/>
        <w:rPr>
          <w:rFonts w:hint="eastAsia" w:ascii="方正小标宋_GBK" w:eastAsia="方正小标宋_GBK"/>
          <w:sz w:val="44"/>
          <w:szCs w:val="44"/>
        </w:rPr>
      </w:pPr>
      <w:bookmarkStart w:id="70" w:name="_GoBack"/>
      <w:r>
        <w:rPr>
          <w:rFonts w:hint="eastAsia" w:ascii="方正小标宋_GBK" w:eastAsia="方正小标宋_GBK"/>
          <w:sz w:val="44"/>
          <w:szCs w:val="44"/>
        </w:rPr>
        <w:t>乐山市“十四五”公共法律服务体系建设规划</w:t>
      </w:r>
    </w:p>
    <w:bookmarkEnd w:id="70"/>
    <w:p>
      <w:pPr>
        <w:autoSpaceDN w:val="0"/>
        <w:adjustRightInd w:val="0"/>
        <w:snapToGrid w:val="0"/>
        <w:spacing w:line="580" w:lineRule="exact"/>
        <w:jc w:val="center"/>
        <w:rPr>
          <w:rFonts w:hint="eastAsia" w:ascii="方正小标宋_GBK" w:eastAsia="方正小标宋_GBK"/>
          <w:sz w:val="44"/>
          <w:szCs w:val="44"/>
        </w:rPr>
      </w:pPr>
    </w:p>
    <w:p>
      <w:pPr>
        <w:autoSpaceDN w:val="0"/>
        <w:jc w:val="center"/>
        <w:rPr>
          <w:rFonts w:hint="eastAsia" w:ascii="黑体" w:hAnsi="黑体" w:eastAsia="黑体"/>
          <w:sz w:val="32"/>
          <w:szCs w:val="32"/>
        </w:rPr>
      </w:pPr>
      <w:r>
        <w:rPr>
          <w:rFonts w:hint="eastAsia" w:ascii="黑体" w:hAnsi="黑体" w:eastAsia="黑体"/>
          <w:sz w:val="32"/>
          <w:szCs w:val="32"/>
        </w:rPr>
        <w:t>目  录</w:t>
      </w:r>
    </w:p>
    <w:p>
      <w:pPr>
        <w:autoSpaceDN w:val="0"/>
        <w:jc w:val="center"/>
        <w:rPr>
          <w:rFonts w:hint="eastAsia" w:ascii="黑体" w:hAnsi="黑体" w:eastAsia="黑体"/>
          <w:sz w:val="32"/>
          <w:szCs w:val="32"/>
        </w:rPr>
      </w:pPr>
    </w:p>
    <w:p>
      <w:pPr>
        <w:pStyle w:val="4"/>
        <w:autoSpaceDN w:val="0"/>
      </w:pPr>
      <w:r>
        <w:fldChar w:fldCharType="begin"/>
      </w:r>
      <w:r>
        <w:instrText xml:space="preserve"> </w:instrText>
      </w:r>
      <w:r>
        <w:rPr>
          <w:rFonts w:hint="eastAsia"/>
        </w:rPr>
        <w:instrText xml:space="preserve">TOC \o "1-2" \h \z \u</w:instrText>
      </w:r>
      <w:r>
        <w:instrText xml:space="preserve"> </w:instrText>
      </w:r>
      <w:r>
        <w:fldChar w:fldCharType="separate"/>
      </w:r>
      <w:r>
        <w:rPr>
          <w:rStyle w:val="9"/>
        </w:rPr>
        <w:fldChar w:fldCharType="begin"/>
      </w:r>
      <w:r>
        <w:rPr>
          <w:rStyle w:val="9"/>
        </w:rPr>
        <w:instrText xml:space="preserve"> </w:instrText>
      </w:r>
      <w:r>
        <w:instrText xml:space="preserve">HYPERLINK \l "_Toc102032458"</w:instrText>
      </w:r>
      <w:r>
        <w:rPr>
          <w:rStyle w:val="9"/>
        </w:rPr>
        <w:instrText xml:space="preserve"> </w:instrText>
      </w:r>
      <w:r>
        <w:rPr>
          <w:rStyle w:val="9"/>
        </w:rPr>
        <w:fldChar w:fldCharType="separate"/>
      </w:r>
      <w:r>
        <w:rPr>
          <w:rStyle w:val="9"/>
          <w:rFonts w:hint="eastAsia"/>
        </w:rPr>
        <w:t>第一章</w:t>
      </w:r>
      <w:r>
        <w:rPr>
          <w:rStyle w:val="9"/>
        </w:rPr>
        <w:t xml:space="preserve">  </w:t>
      </w:r>
      <w:r>
        <w:rPr>
          <w:rStyle w:val="9"/>
          <w:rFonts w:hint="eastAsia"/>
        </w:rPr>
        <w:t>规划背景</w:t>
      </w:r>
      <w:r>
        <w:tab/>
      </w:r>
      <w:r>
        <w:fldChar w:fldCharType="begin"/>
      </w:r>
      <w:r>
        <w:instrText xml:space="preserve"> PAGEREF _Toc102032458 \h </w:instrText>
      </w:r>
      <w:r>
        <w:fldChar w:fldCharType="separate"/>
      </w:r>
      <w:r>
        <w:t>4</w:t>
      </w:r>
      <w:r>
        <w:fldChar w:fldCharType="end"/>
      </w:r>
      <w:r>
        <w:rPr>
          <w:rStyle w:val="9"/>
        </w:rPr>
        <w:fldChar w:fldCharType="end"/>
      </w:r>
    </w:p>
    <w:p>
      <w:pPr>
        <w:pStyle w:val="5"/>
        <w:autoSpaceDN w:val="0"/>
        <w:rPr>
          <w:rFonts w:hint="eastAsia"/>
        </w:rPr>
      </w:pPr>
      <w:r>
        <w:rPr>
          <w:rStyle w:val="9"/>
          <w:rFonts w:hint="eastAsia"/>
        </w:rPr>
        <w:fldChar w:fldCharType="begin"/>
      </w:r>
      <w:r>
        <w:rPr>
          <w:rStyle w:val="9"/>
          <w:rFonts w:hint="eastAsia"/>
        </w:rPr>
        <w:instrText xml:space="preserve"> </w:instrText>
      </w:r>
      <w:r>
        <w:rPr>
          <w:rFonts w:hint="eastAsia"/>
        </w:rPr>
        <w:instrText xml:space="preserve">HYPERLINK \l "_Toc102032459"</w:instrText>
      </w:r>
      <w:r>
        <w:rPr>
          <w:rStyle w:val="9"/>
          <w:rFonts w:hint="eastAsia"/>
        </w:rPr>
        <w:instrText xml:space="preserve"> </w:instrText>
      </w:r>
      <w:r>
        <w:rPr>
          <w:rStyle w:val="9"/>
          <w:rFonts w:hint="eastAsia"/>
        </w:rPr>
        <w:fldChar w:fldCharType="separate"/>
      </w:r>
      <w:r>
        <w:rPr>
          <w:rStyle w:val="9"/>
          <w:rFonts w:hint="eastAsia"/>
        </w:rPr>
        <w:t>第一节  发展基础</w:t>
      </w:r>
      <w:r>
        <w:rPr>
          <w:rFonts w:hint="eastAsia"/>
        </w:rPr>
        <w:tab/>
      </w:r>
      <w:r>
        <w:rPr>
          <w:rFonts w:hint="eastAsia"/>
        </w:rPr>
        <w:fldChar w:fldCharType="begin"/>
      </w:r>
      <w:r>
        <w:rPr>
          <w:rFonts w:hint="eastAsia"/>
        </w:rPr>
        <w:instrText xml:space="preserve"> PAGEREF _Toc102032459 \h </w:instrText>
      </w:r>
      <w:r>
        <w:rPr>
          <w:rFonts w:hint="eastAsia"/>
        </w:rPr>
        <w:fldChar w:fldCharType="separate"/>
      </w:r>
      <w:r>
        <w:t>4</w:t>
      </w:r>
      <w:r>
        <w:rPr>
          <w:rFonts w:hint="eastAsia"/>
        </w:rPr>
        <w:fldChar w:fldCharType="end"/>
      </w:r>
      <w:r>
        <w:rPr>
          <w:rStyle w:val="9"/>
          <w:rFonts w:hint="eastAsia"/>
        </w:rPr>
        <w:fldChar w:fldCharType="end"/>
      </w:r>
    </w:p>
    <w:p>
      <w:pPr>
        <w:pStyle w:val="5"/>
        <w:autoSpaceDN w:val="0"/>
        <w:rPr>
          <w:rFonts w:hint="eastAsia"/>
        </w:rPr>
      </w:pPr>
      <w:r>
        <w:rPr>
          <w:rStyle w:val="9"/>
          <w:rFonts w:hint="eastAsia"/>
        </w:rPr>
        <w:fldChar w:fldCharType="begin"/>
      </w:r>
      <w:r>
        <w:rPr>
          <w:rStyle w:val="9"/>
          <w:rFonts w:hint="eastAsia"/>
        </w:rPr>
        <w:instrText xml:space="preserve"> </w:instrText>
      </w:r>
      <w:r>
        <w:rPr>
          <w:rFonts w:hint="eastAsia"/>
        </w:rPr>
        <w:instrText xml:space="preserve">HYPERLINK \l "_Toc102032460"</w:instrText>
      </w:r>
      <w:r>
        <w:rPr>
          <w:rStyle w:val="9"/>
          <w:rFonts w:hint="eastAsia"/>
        </w:rPr>
        <w:instrText xml:space="preserve"> </w:instrText>
      </w:r>
      <w:r>
        <w:rPr>
          <w:rStyle w:val="9"/>
          <w:rFonts w:hint="eastAsia"/>
        </w:rPr>
        <w:fldChar w:fldCharType="separate"/>
      </w:r>
      <w:r>
        <w:rPr>
          <w:rStyle w:val="9"/>
          <w:rFonts w:hint="eastAsia"/>
        </w:rPr>
        <w:t>第二节  面临形势</w:t>
      </w:r>
      <w:r>
        <w:rPr>
          <w:rFonts w:hint="eastAsia"/>
        </w:rPr>
        <w:tab/>
      </w:r>
      <w:r>
        <w:rPr>
          <w:rFonts w:hint="eastAsia"/>
        </w:rPr>
        <w:fldChar w:fldCharType="begin"/>
      </w:r>
      <w:r>
        <w:rPr>
          <w:rFonts w:hint="eastAsia"/>
        </w:rPr>
        <w:instrText xml:space="preserve"> PAGEREF _Toc102032460 \h </w:instrText>
      </w:r>
      <w:r>
        <w:rPr>
          <w:rFonts w:hint="eastAsia"/>
        </w:rPr>
        <w:fldChar w:fldCharType="separate"/>
      </w:r>
      <w:r>
        <w:t>6</w:t>
      </w:r>
      <w:r>
        <w:rPr>
          <w:rFonts w:hint="eastAsia"/>
        </w:rPr>
        <w:fldChar w:fldCharType="end"/>
      </w:r>
      <w:r>
        <w:rPr>
          <w:rStyle w:val="9"/>
          <w:rFonts w:hint="eastAsia"/>
        </w:rPr>
        <w:fldChar w:fldCharType="end"/>
      </w:r>
    </w:p>
    <w:p>
      <w:pPr>
        <w:pStyle w:val="4"/>
        <w:autoSpaceDN w:val="0"/>
        <w:rPr>
          <w:rStyle w:val="9"/>
        </w:rPr>
      </w:pPr>
      <w:r>
        <w:rPr>
          <w:rStyle w:val="9"/>
        </w:rPr>
        <w:fldChar w:fldCharType="begin"/>
      </w:r>
      <w:r>
        <w:rPr>
          <w:rStyle w:val="9"/>
        </w:rPr>
        <w:instrText xml:space="preserve"> HYPERLINK \l "_Toc102032461" </w:instrText>
      </w:r>
      <w:r>
        <w:rPr>
          <w:rStyle w:val="9"/>
        </w:rPr>
        <w:fldChar w:fldCharType="separate"/>
      </w:r>
      <w:r>
        <w:rPr>
          <w:rStyle w:val="9"/>
          <w:rFonts w:hint="eastAsia"/>
        </w:rPr>
        <w:t>第二章</w:t>
      </w:r>
      <w:r>
        <w:rPr>
          <w:rStyle w:val="9"/>
        </w:rPr>
        <w:t xml:space="preserve">  </w:t>
      </w:r>
      <w:r>
        <w:rPr>
          <w:rStyle w:val="9"/>
          <w:rFonts w:hint="eastAsia"/>
        </w:rPr>
        <w:t>总体要求</w:t>
      </w:r>
      <w:r>
        <w:rPr>
          <w:rStyle w:val="9"/>
        </w:rPr>
        <w:tab/>
      </w:r>
      <w:r>
        <w:rPr>
          <w:rStyle w:val="9"/>
        </w:rPr>
        <w:fldChar w:fldCharType="begin"/>
      </w:r>
      <w:r>
        <w:rPr>
          <w:rStyle w:val="9"/>
        </w:rPr>
        <w:instrText xml:space="preserve"> PAGEREF _Toc102032461 \h </w:instrText>
      </w:r>
      <w:r>
        <w:rPr>
          <w:rStyle w:val="9"/>
        </w:rPr>
        <w:fldChar w:fldCharType="separate"/>
      </w:r>
      <w:r>
        <w:rPr>
          <w:rStyle w:val="9"/>
        </w:rPr>
        <w:t>7</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"_Toc102032462" </w:instrText>
      </w:r>
      <w:r>
        <w:rPr>
          <w:rStyle w:val="9"/>
        </w:rPr>
        <w:fldChar w:fldCharType="separate"/>
      </w:r>
      <w:r>
        <w:rPr>
          <w:rStyle w:val="9"/>
          <w:rFonts w:hint="eastAsia"/>
        </w:rPr>
        <w:t>第一节</w:t>
      </w:r>
      <w:r>
        <w:rPr>
          <w:rStyle w:val="9"/>
        </w:rPr>
        <w:t xml:space="preserve">  </w:t>
      </w:r>
      <w:r>
        <w:rPr>
          <w:rStyle w:val="9"/>
          <w:rFonts w:hint="eastAsia"/>
        </w:rPr>
        <w:t>指导思想</w:t>
      </w:r>
      <w:r>
        <w:rPr>
          <w:rStyle w:val="9"/>
        </w:rPr>
        <w:tab/>
      </w:r>
      <w:r>
        <w:rPr>
          <w:rStyle w:val="9"/>
        </w:rPr>
        <w:fldChar w:fldCharType="begin"/>
      </w:r>
      <w:r>
        <w:rPr>
          <w:rStyle w:val="9"/>
        </w:rPr>
        <w:instrText xml:space="preserve"> PAGEREF _Toc102032462 \h </w:instrText>
      </w:r>
      <w:r>
        <w:rPr>
          <w:rStyle w:val="9"/>
        </w:rPr>
        <w:fldChar w:fldCharType="separate"/>
      </w:r>
      <w:r>
        <w:rPr>
          <w:rStyle w:val="9"/>
        </w:rPr>
        <w:t>7</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"_Toc102032463" </w:instrText>
      </w:r>
      <w:r>
        <w:rPr>
          <w:rStyle w:val="9"/>
        </w:rPr>
        <w:fldChar w:fldCharType="separate"/>
      </w:r>
      <w:r>
        <w:rPr>
          <w:rStyle w:val="9"/>
          <w:rFonts w:hint="eastAsia"/>
        </w:rPr>
        <w:t>第二节</w:t>
      </w:r>
      <w:r>
        <w:rPr>
          <w:rStyle w:val="9"/>
        </w:rPr>
        <w:t xml:space="preserve">  </w:t>
      </w:r>
      <w:r>
        <w:rPr>
          <w:rStyle w:val="9"/>
          <w:rFonts w:hint="eastAsia"/>
        </w:rPr>
        <w:t>基本原则</w:t>
      </w:r>
      <w:r>
        <w:rPr>
          <w:rStyle w:val="9"/>
        </w:rPr>
        <w:tab/>
      </w:r>
      <w:r>
        <w:rPr>
          <w:rStyle w:val="9"/>
        </w:rPr>
        <w:fldChar w:fldCharType="begin"/>
      </w:r>
      <w:r>
        <w:rPr>
          <w:rStyle w:val="9"/>
        </w:rPr>
        <w:instrText xml:space="preserve"> PAGEREF _Toc102032463 \h </w:instrText>
      </w:r>
      <w:r>
        <w:rPr>
          <w:rStyle w:val="9"/>
        </w:rPr>
        <w:fldChar w:fldCharType="separate"/>
      </w:r>
      <w:r>
        <w:rPr>
          <w:rStyle w:val="9"/>
        </w:rPr>
        <w:t>8</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"_Toc102032464" </w:instrText>
      </w:r>
      <w:r>
        <w:rPr>
          <w:rStyle w:val="9"/>
        </w:rPr>
        <w:fldChar w:fldCharType="separate"/>
      </w:r>
      <w:r>
        <w:rPr>
          <w:rStyle w:val="9"/>
          <w:rFonts w:hint="eastAsia"/>
        </w:rPr>
        <w:t>第三节</w:t>
      </w:r>
      <w:r>
        <w:rPr>
          <w:rStyle w:val="9"/>
        </w:rPr>
        <w:t xml:space="preserve">  </w:t>
      </w:r>
      <w:r>
        <w:rPr>
          <w:rStyle w:val="9"/>
          <w:rFonts w:hint="eastAsia"/>
        </w:rPr>
        <w:t>主要目标</w:t>
      </w:r>
      <w:r>
        <w:rPr>
          <w:rStyle w:val="9"/>
        </w:rPr>
        <w:tab/>
      </w:r>
      <w:r>
        <w:rPr>
          <w:rStyle w:val="9"/>
        </w:rPr>
        <w:fldChar w:fldCharType="begin"/>
      </w:r>
      <w:r>
        <w:rPr>
          <w:rStyle w:val="9"/>
        </w:rPr>
        <w:instrText xml:space="preserve"> PAGEREF _Toc102032464 \h </w:instrText>
      </w:r>
      <w:r>
        <w:rPr>
          <w:rStyle w:val="9"/>
        </w:rPr>
        <w:fldChar w:fldCharType="separate"/>
      </w:r>
      <w:r>
        <w:rPr>
          <w:rStyle w:val="9"/>
        </w:rPr>
        <w:t>9</w:t>
      </w:r>
      <w:r>
        <w:rPr>
          <w:rStyle w:val="9"/>
        </w:rPr>
        <w:fldChar w:fldCharType="end"/>
      </w:r>
      <w:r>
        <w:rPr>
          <w:rStyle w:val="9"/>
        </w:rPr>
        <w:fldChar w:fldCharType="end"/>
      </w:r>
    </w:p>
    <w:p>
      <w:pPr>
        <w:pStyle w:val="4"/>
        <w:autoSpaceDN w:val="0"/>
        <w:rPr>
          <w:rStyle w:val="9"/>
        </w:rPr>
      </w:pPr>
      <w:r>
        <w:rPr>
          <w:rStyle w:val="9"/>
        </w:rPr>
        <w:fldChar w:fldCharType="begin"/>
      </w:r>
      <w:r>
        <w:rPr>
          <w:rStyle w:val="9"/>
        </w:rPr>
        <w:instrText xml:space="preserve"> HYPERLINK \l "_Toc102032465" </w:instrText>
      </w:r>
      <w:r>
        <w:rPr>
          <w:rStyle w:val="9"/>
        </w:rPr>
        <w:fldChar w:fldCharType="separate"/>
      </w:r>
      <w:r>
        <w:rPr>
          <w:rStyle w:val="9"/>
          <w:rFonts w:hint="eastAsia"/>
        </w:rPr>
        <w:t>第三章</w:t>
      </w:r>
      <w:r>
        <w:rPr>
          <w:rStyle w:val="9"/>
        </w:rPr>
        <w:t xml:space="preserve">  </w:t>
      </w:r>
      <w:r>
        <w:rPr>
          <w:rStyle w:val="9"/>
          <w:rFonts w:hint="eastAsia"/>
        </w:rPr>
        <w:t>完善公共法律服务基础设施建设</w:t>
      </w:r>
      <w:r>
        <w:rPr>
          <w:rStyle w:val="9"/>
        </w:rPr>
        <w:tab/>
      </w:r>
      <w:r>
        <w:rPr>
          <w:rStyle w:val="9"/>
        </w:rPr>
        <w:fldChar w:fldCharType="begin"/>
      </w:r>
      <w:r>
        <w:rPr>
          <w:rStyle w:val="9"/>
        </w:rPr>
        <w:instrText xml:space="preserve"> PAGEREF _Toc102032465 \h </w:instrText>
      </w:r>
      <w:r>
        <w:rPr>
          <w:rStyle w:val="9"/>
        </w:rPr>
        <w:fldChar w:fldCharType="separate"/>
      </w:r>
      <w:r>
        <w:rPr>
          <w:rStyle w:val="9"/>
        </w:rPr>
        <w:t>11</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"_Toc102032466" </w:instrText>
      </w:r>
      <w:r>
        <w:rPr>
          <w:rStyle w:val="9"/>
        </w:rPr>
        <w:fldChar w:fldCharType="separate"/>
      </w:r>
      <w:r>
        <w:rPr>
          <w:rStyle w:val="9"/>
          <w:rFonts w:hint="eastAsia"/>
        </w:rPr>
        <w:t>第一节</w:t>
      </w:r>
      <w:r>
        <w:rPr>
          <w:rStyle w:val="9"/>
        </w:rPr>
        <w:t xml:space="preserve">  </w:t>
      </w:r>
      <w:r>
        <w:rPr>
          <w:rStyle w:val="9"/>
          <w:rFonts w:hint="eastAsia"/>
        </w:rPr>
        <w:t>加强公共法律服务实体平台建设</w:t>
      </w:r>
      <w:r>
        <w:rPr>
          <w:rStyle w:val="9"/>
        </w:rPr>
        <w:tab/>
      </w:r>
      <w:r>
        <w:rPr>
          <w:rStyle w:val="9"/>
        </w:rPr>
        <w:fldChar w:fldCharType="begin"/>
      </w:r>
      <w:r>
        <w:rPr>
          <w:rStyle w:val="9"/>
        </w:rPr>
        <w:instrText xml:space="preserve"> PAGEREF _Toc102032466 \h </w:instrText>
      </w:r>
      <w:r>
        <w:rPr>
          <w:rStyle w:val="9"/>
        </w:rPr>
        <w:fldChar w:fldCharType="separate"/>
      </w:r>
      <w:r>
        <w:rPr>
          <w:rStyle w:val="9"/>
        </w:rPr>
        <w:t>11</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"_Toc102032467" </w:instrText>
      </w:r>
      <w:r>
        <w:rPr>
          <w:rStyle w:val="9"/>
        </w:rPr>
        <w:fldChar w:fldCharType="separate"/>
      </w:r>
      <w:r>
        <w:rPr>
          <w:rStyle w:val="9"/>
          <w:rFonts w:hint="eastAsia"/>
        </w:rPr>
        <w:t>第二节</w:t>
      </w:r>
      <w:r>
        <w:rPr>
          <w:rStyle w:val="9"/>
        </w:rPr>
        <w:t xml:space="preserve">  </w:t>
      </w:r>
      <w:r>
        <w:rPr>
          <w:rStyle w:val="9"/>
          <w:rFonts w:hint="eastAsia"/>
        </w:rPr>
        <w:t>协同公共法律服务热线平台运行</w:t>
      </w:r>
      <w:r>
        <w:rPr>
          <w:rStyle w:val="9"/>
        </w:rPr>
        <w:tab/>
      </w:r>
      <w:r>
        <w:rPr>
          <w:rStyle w:val="9"/>
        </w:rPr>
        <w:fldChar w:fldCharType="begin"/>
      </w:r>
      <w:r>
        <w:rPr>
          <w:rStyle w:val="9"/>
        </w:rPr>
        <w:instrText xml:space="preserve"> PAGEREF _Toc102032467 \h </w:instrText>
      </w:r>
      <w:r>
        <w:rPr>
          <w:rStyle w:val="9"/>
        </w:rPr>
        <w:fldChar w:fldCharType="separate"/>
      </w:r>
      <w:r>
        <w:rPr>
          <w:rStyle w:val="9"/>
        </w:rPr>
        <w:t>12</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"_Toc102032468" </w:instrText>
      </w:r>
      <w:r>
        <w:rPr>
          <w:rStyle w:val="9"/>
        </w:rPr>
        <w:fldChar w:fldCharType="separate"/>
      </w:r>
      <w:r>
        <w:rPr>
          <w:rStyle w:val="9"/>
          <w:rFonts w:hint="eastAsia"/>
        </w:rPr>
        <w:t>第三节</w:t>
      </w:r>
      <w:r>
        <w:rPr>
          <w:rStyle w:val="9"/>
        </w:rPr>
        <w:t xml:space="preserve">  </w:t>
      </w:r>
      <w:r>
        <w:rPr>
          <w:rStyle w:val="9"/>
          <w:rFonts w:hint="eastAsia"/>
        </w:rPr>
        <w:t>推广公共法律服务网络平台使用</w:t>
      </w:r>
      <w:r>
        <w:rPr>
          <w:rStyle w:val="9"/>
        </w:rPr>
        <w:tab/>
      </w:r>
      <w:r>
        <w:rPr>
          <w:rStyle w:val="9"/>
        </w:rPr>
        <w:fldChar w:fldCharType="begin"/>
      </w:r>
      <w:r>
        <w:rPr>
          <w:rStyle w:val="9"/>
        </w:rPr>
        <w:instrText xml:space="preserve"> PAGEREF _Toc102032468 \h </w:instrText>
      </w:r>
      <w:r>
        <w:rPr>
          <w:rStyle w:val="9"/>
        </w:rPr>
        <w:fldChar w:fldCharType="separate"/>
      </w:r>
      <w:r>
        <w:rPr>
          <w:rStyle w:val="9"/>
        </w:rPr>
        <w:t>12</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"_Toc102032469" </w:instrText>
      </w:r>
      <w:r>
        <w:rPr>
          <w:rStyle w:val="9"/>
        </w:rPr>
        <w:fldChar w:fldCharType="separate"/>
      </w:r>
      <w:r>
        <w:rPr>
          <w:rStyle w:val="9"/>
          <w:rFonts w:hint="eastAsia"/>
        </w:rPr>
        <w:t>第四节</w:t>
      </w:r>
      <w:r>
        <w:rPr>
          <w:rStyle w:val="9"/>
        </w:rPr>
        <w:t xml:space="preserve">  </w:t>
      </w:r>
      <w:r>
        <w:rPr>
          <w:rStyle w:val="9"/>
          <w:rFonts w:hint="eastAsia"/>
        </w:rPr>
        <w:t>推进公共法律服务融合发展</w:t>
      </w:r>
      <w:r>
        <w:rPr>
          <w:rStyle w:val="9"/>
        </w:rPr>
        <w:tab/>
      </w:r>
      <w:r>
        <w:rPr>
          <w:rStyle w:val="9"/>
        </w:rPr>
        <w:fldChar w:fldCharType="begin"/>
      </w:r>
      <w:r>
        <w:rPr>
          <w:rStyle w:val="9"/>
        </w:rPr>
        <w:instrText xml:space="preserve"> PAGEREF _Toc102032469 \h </w:instrText>
      </w:r>
      <w:r>
        <w:rPr>
          <w:rStyle w:val="9"/>
        </w:rPr>
        <w:fldChar w:fldCharType="separate"/>
      </w:r>
      <w:r>
        <w:rPr>
          <w:rStyle w:val="9"/>
        </w:rPr>
        <w:t>13</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"_Toc102032470" </w:instrText>
      </w:r>
      <w:r>
        <w:rPr>
          <w:rStyle w:val="9"/>
        </w:rPr>
        <w:fldChar w:fldCharType="separate"/>
      </w:r>
      <w:r>
        <w:rPr>
          <w:rStyle w:val="9"/>
          <w:rFonts w:hint="eastAsia"/>
        </w:rPr>
        <w:t>第五节</w:t>
      </w:r>
      <w:r>
        <w:rPr>
          <w:rStyle w:val="9"/>
        </w:rPr>
        <w:t xml:space="preserve">  </w:t>
      </w:r>
      <w:r>
        <w:rPr>
          <w:rStyle w:val="9"/>
          <w:rFonts w:hint="eastAsia"/>
        </w:rPr>
        <w:t>加强公共法律服务科技信息化建设</w:t>
      </w:r>
      <w:r>
        <w:rPr>
          <w:rStyle w:val="9"/>
        </w:rPr>
        <w:tab/>
      </w:r>
      <w:r>
        <w:rPr>
          <w:rStyle w:val="9"/>
        </w:rPr>
        <w:fldChar w:fldCharType="begin"/>
      </w:r>
      <w:r>
        <w:rPr>
          <w:rStyle w:val="9"/>
        </w:rPr>
        <w:instrText xml:space="preserve"> PAGEREF _Toc102032470 \h </w:instrText>
      </w:r>
      <w:r>
        <w:rPr>
          <w:rStyle w:val="9"/>
        </w:rPr>
        <w:fldChar w:fldCharType="separate"/>
      </w:r>
      <w:r>
        <w:rPr>
          <w:rStyle w:val="9"/>
        </w:rPr>
        <w:t>14</w:t>
      </w:r>
      <w:r>
        <w:rPr>
          <w:rStyle w:val="9"/>
        </w:rPr>
        <w:fldChar w:fldCharType="end"/>
      </w:r>
      <w:r>
        <w:rPr>
          <w:rStyle w:val="9"/>
        </w:rPr>
        <w:fldChar w:fldCharType="end"/>
      </w:r>
    </w:p>
    <w:p>
      <w:pPr>
        <w:pStyle w:val="4"/>
        <w:autoSpaceDN w:val="0"/>
        <w:rPr>
          <w:rStyle w:val="9"/>
        </w:rPr>
      </w:pPr>
      <w:r>
        <w:rPr>
          <w:rStyle w:val="9"/>
        </w:rPr>
        <w:fldChar w:fldCharType="begin"/>
      </w:r>
      <w:r>
        <w:rPr>
          <w:rStyle w:val="9"/>
        </w:rPr>
        <w:instrText xml:space="preserve"> HYPERLINK \l "_Toc102032471" </w:instrText>
      </w:r>
      <w:r>
        <w:rPr>
          <w:rStyle w:val="9"/>
        </w:rPr>
        <w:fldChar w:fldCharType="separate"/>
      </w:r>
      <w:r>
        <w:rPr>
          <w:rStyle w:val="9"/>
          <w:rFonts w:hint="eastAsia"/>
        </w:rPr>
        <w:t>第四章</w:t>
      </w:r>
      <w:r>
        <w:rPr>
          <w:rStyle w:val="9"/>
        </w:rPr>
        <w:t xml:space="preserve">  </w:t>
      </w:r>
      <w:r>
        <w:rPr>
          <w:rStyle w:val="9"/>
          <w:rFonts w:hint="eastAsia"/>
        </w:rPr>
        <w:t>提高公共法律服务供给能力</w:t>
      </w:r>
      <w:r>
        <w:rPr>
          <w:rStyle w:val="9"/>
        </w:rPr>
        <w:tab/>
      </w:r>
      <w:r>
        <w:rPr>
          <w:rStyle w:val="9"/>
        </w:rPr>
        <w:fldChar w:fldCharType="begin"/>
      </w:r>
      <w:r>
        <w:rPr>
          <w:rStyle w:val="9"/>
        </w:rPr>
        <w:instrText xml:space="preserve"> PAGEREF _Toc102032471 \h </w:instrText>
      </w:r>
      <w:r>
        <w:rPr>
          <w:rStyle w:val="9"/>
        </w:rPr>
        <w:fldChar w:fldCharType="separate"/>
      </w:r>
      <w:r>
        <w:rPr>
          <w:rStyle w:val="9"/>
        </w:rPr>
        <w:t>15</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"_Toc102032472" </w:instrText>
      </w:r>
      <w:r>
        <w:rPr>
          <w:rStyle w:val="9"/>
        </w:rPr>
        <w:fldChar w:fldCharType="separate"/>
      </w:r>
      <w:r>
        <w:rPr>
          <w:rStyle w:val="9"/>
          <w:rFonts w:hint="eastAsia"/>
        </w:rPr>
        <w:t>第一节</w:t>
      </w:r>
      <w:r>
        <w:rPr>
          <w:rStyle w:val="9"/>
        </w:rPr>
        <w:t xml:space="preserve">  </w:t>
      </w:r>
      <w:r>
        <w:rPr>
          <w:rStyle w:val="9"/>
          <w:rFonts w:hint="eastAsia"/>
        </w:rPr>
        <w:t>提升普法工作质效</w:t>
      </w:r>
      <w:r>
        <w:rPr>
          <w:rStyle w:val="9"/>
        </w:rPr>
        <w:tab/>
      </w:r>
      <w:r>
        <w:rPr>
          <w:rStyle w:val="9"/>
        </w:rPr>
        <w:fldChar w:fldCharType="begin"/>
      </w:r>
      <w:r>
        <w:rPr>
          <w:rStyle w:val="9"/>
        </w:rPr>
        <w:instrText xml:space="preserve"> PAGEREF _Toc102032472 \h </w:instrText>
      </w:r>
      <w:r>
        <w:rPr>
          <w:rStyle w:val="9"/>
        </w:rPr>
        <w:fldChar w:fldCharType="separate"/>
      </w:r>
      <w:r>
        <w:rPr>
          <w:rStyle w:val="9"/>
        </w:rPr>
        <w:t>15</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"_Toc102032473" </w:instrText>
      </w:r>
      <w:r>
        <w:rPr>
          <w:rStyle w:val="9"/>
        </w:rPr>
        <w:fldChar w:fldCharType="separate"/>
      </w:r>
      <w:r>
        <w:rPr>
          <w:rStyle w:val="9"/>
          <w:rFonts w:hint="eastAsia"/>
        </w:rPr>
        <w:t>第二节</w:t>
      </w:r>
      <w:r>
        <w:rPr>
          <w:rStyle w:val="9"/>
        </w:rPr>
        <w:t xml:space="preserve">  </w:t>
      </w:r>
      <w:r>
        <w:rPr>
          <w:rStyle w:val="9"/>
          <w:rFonts w:hint="eastAsia"/>
        </w:rPr>
        <w:t>加强和改进法律援助工作</w:t>
      </w:r>
      <w:r>
        <w:rPr>
          <w:rStyle w:val="9"/>
        </w:rPr>
        <w:tab/>
      </w:r>
      <w:r>
        <w:rPr>
          <w:rStyle w:val="9"/>
        </w:rPr>
        <w:fldChar w:fldCharType="begin"/>
      </w:r>
      <w:r>
        <w:rPr>
          <w:rStyle w:val="9"/>
        </w:rPr>
        <w:instrText xml:space="preserve"> PAGEREF _Toc102032473 \h </w:instrText>
      </w:r>
      <w:r>
        <w:rPr>
          <w:rStyle w:val="9"/>
        </w:rPr>
        <w:fldChar w:fldCharType="separate"/>
      </w:r>
      <w:r>
        <w:rPr>
          <w:rStyle w:val="9"/>
        </w:rPr>
        <w:t>18</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"_Toc102032474" </w:instrText>
      </w:r>
      <w:r>
        <w:rPr>
          <w:rStyle w:val="9"/>
        </w:rPr>
        <w:fldChar w:fldCharType="separate"/>
      </w:r>
      <w:r>
        <w:rPr>
          <w:rStyle w:val="9"/>
          <w:rFonts w:hint="eastAsia"/>
        </w:rPr>
        <w:t>第三节</w:t>
      </w:r>
      <w:r>
        <w:rPr>
          <w:rStyle w:val="9"/>
        </w:rPr>
        <w:t xml:space="preserve">  </w:t>
      </w:r>
      <w:r>
        <w:rPr>
          <w:rStyle w:val="9"/>
          <w:rFonts w:hint="eastAsia"/>
        </w:rPr>
        <w:t>创新升级新时代人民调解工作</w:t>
      </w:r>
      <w:r>
        <w:rPr>
          <w:rStyle w:val="9"/>
        </w:rPr>
        <w:tab/>
      </w:r>
      <w:r>
        <w:rPr>
          <w:rStyle w:val="9"/>
        </w:rPr>
        <w:fldChar w:fldCharType="begin"/>
      </w:r>
      <w:r>
        <w:rPr>
          <w:rStyle w:val="9"/>
        </w:rPr>
        <w:instrText xml:space="preserve"> PAGEREF _Toc102032474 \h </w:instrText>
      </w:r>
      <w:r>
        <w:rPr>
          <w:rStyle w:val="9"/>
        </w:rPr>
        <w:fldChar w:fldCharType="separate"/>
      </w:r>
      <w:r>
        <w:rPr>
          <w:rStyle w:val="9"/>
        </w:rPr>
        <w:t>19</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"_Toc102032475" </w:instrText>
      </w:r>
      <w:r>
        <w:rPr>
          <w:rStyle w:val="9"/>
        </w:rPr>
        <w:fldChar w:fldCharType="separate"/>
      </w:r>
      <w:r>
        <w:rPr>
          <w:rStyle w:val="9"/>
          <w:rFonts w:hint="eastAsia"/>
        </w:rPr>
        <w:t>第四节</w:t>
      </w:r>
      <w:r>
        <w:rPr>
          <w:rStyle w:val="9"/>
        </w:rPr>
        <w:t xml:space="preserve">  </w:t>
      </w:r>
      <w:r>
        <w:rPr>
          <w:rStyle w:val="9"/>
          <w:rFonts w:hint="eastAsia"/>
        </w:rPr>
        <w:t>优化律师法律服务</w:t>
      </w:r>
      <w:r>
        <w:rPr>
          <w:rStyle w:val="9"/>
        </w:rPr>
        <w:tab/>
      </w:r>
      <w:r>
        <w:rPr>
          <w:rStyle w:val="9"/>
        </w:rPr>
        <w:fldChar w:fldCharType="begin"/>
      </w:r>
      <w:r>
        <w:rPr>
          <w:rStyle w:val="9"/>
        </w:rPr>
        <w:instrText xml:space="preserve"> PAGEREF _Toc102032475 \h </w:instrText>
      </w:r>
      <w:r>
        <w:rPr>
          <w:rStyle w:val="9"/>
        </w:rPr>
        <w:fldChar w:fldCharType="separate"/>
      </w:r>
      <w:r>
        <w:rPr>
          <w:rStyle w:val="9"/>
        </w:rPr>
        <w:t>20</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"_Toc102032476" </w:instrText>
      </w:r>
      <w:r>
        <w:rPr>
          <w:rStyle w:val="9"/>
        </w:rPr>
        <w:fldChar w:fldCharType="separate"/>
      </w:r>
      <w:r>
        <w:rPr>
          <w:rStyle w:val="9"/>
          <w:rFonts w:hint="eastAsia"/>
        </w:rPr>
        <w:t>第五节</w:t>
      </w:r>
      <w:r>
        <w:rPr>
          <w:rStyle w:val="9"/>
        </w:rPr>
        <w:t xml:space="preserve">  </w:t>
      </w:r>
      <w:r>
        <w:rPr>
          <w:rStyle w:val="9"/>
          <w:rFonts w:hint="eastAsia"/>
        </w:rPr>
        <w:t>拓展公证服务业务领域</w:t>
      </w:r>
      <w:r>
        <w:rPr>
          <w:rStyle w:val="9"/>
        </w:rPr>
        <w:tab/>
      </w:r>
      <w:r>
        <w:rPr>
          <w:rStyle w:val="9"/>
        </w:rPr>
        <w:fldChar w:fldCharType="begin"/>
      </w:r>
      <w:r>
        <w:rPr>
          <w:rStyle w:val="9"/>
        </w:rPr>
        <w:instrText xml:space="preserve"> PAGEREF _Toc102032476 \h </w:instrText>
      </w:r>
      <w:r>
        <w:rPr>
          <w:rStyle w:val="9"/>
        </w:rPr>
        <w:fldChar w:fldCharType="separate"/>
      </w:r>
      <w:r>
        <w:rPr>
          <w:rStyle w:val="9"/>
        </w:rPr>
        <w:t>21</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"_Toc102032477" </w:instrText>
      </w:r>
      <w:r>
        <w:rPr>
          <w:rStyle w:val="9"/>
        </w:rPr>
        <w:fldChar w:fldCharType="separate"/>
      </w:r>
      <w:r>
        <w:rPr>
          <w:rStyle w:val="9"/>
          <w:rFonts w:hint="eastAsia"/>
        </w:rPr>
        <w:t>第六节</w:t>
      </w:r>
      <w:r>
        <w:rPr>
          <w:rStyle w:val="9"/>
        </w:rPr>
        <w:t xml:space="preserve">  </w:t>
      </w:r>
      <w:r>
        <w:rPr>
          <w:rStyle w:val="9"/>
          <w:rFonts w:hint="eastAsia"/>
        </w:rPr>
        <w:t>推进司法鉴定行业高质量发展</w:t>
      </w:r>
      <w:r>
        <w:rPr>
          <w:rStyle w:val="9"/>
        </w:rPr>
        <w:tab/>
      </w:r>
      <w:r>
        <w:rPr>
          <w:rStyle w:val="9"/>
        </w:rPr>
        <w:fldChar w:fldCharType="begin"/>
      </w:r>
      <w:r>
        <w:rPr>
          <w:rStyle w:val="9"/>
        </w:rPr>
        <w:instrText xml:space="preserve"> PAGEREF _Toc102032477 \h </w:instrText>
      </w:r>
      <w:r>
        <w:rPr>
          <w:rStyle w:val="9"/>
        </w:rPr>
        <w:fldChar w:fldCharType="separate"/>
      </w:r>
      <w:r>
        <w:rPr>
          <w:rStyle w:val="9"/>
        </w:rPr>
        <w:t>22</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"_Toc102032478" </w:instrText>
      </w:r>
      <w:r>
        <w:rPr>
          <w:rStyle w:val="9"/>
        </w:rPr>
        <w:fldChar w:fldCharType="separate"/>
      </w:r>
      <w:r>
        <w:rPr>
          <w:rStyle w:val="9"/>
          <w:rFonts w:hint="eastAsia"/>
        </w:rPr>
        <w:t>第七节</w:t>
      </w:r>
      <w:r>
        <w:rPr>
          <w:rStyle w:val="9"/>
        </w:rPr>
        <w:t xml:space="preserve">  </w:t>
      </w:r>
      <w:r>
        <w:rPr>
          <w:rStyle w:val="9"/>
          <w:rFonts w:hint="eastAsia"/>
        </w:rPr>
        <w:t>提升仲裁服务能力</w:t>
      </w:r>
      <w:r>
        <w:rPr>
          <w:rStyle w:val="9"/>
        </w:rPr>
        <w:tab/>
      </w:r>
      <w:r>
        <w:rPr>
          <w:rStyle w:val="9"/>
        </w:rPr>
        <w:fldChar w:fldCharType="begin"/>
      </w:r>
      <w:r>
        <w:rPr>
          <w:rStyle w:val="9"/>
        </w:rPr>
        <w:instrText xml:space="preserve"> PAGEREF _Toc102032478 \h </w:instrText>
      </w:r>
      <w:r>
        <w:rPr>
          <w:rStyle w:val="9"/>
        </w:rPr>
        <w:fldChar w:fldCharType="separate"/>
      </w:r>
      <w:r>
        <w:rPr>
          <w:rStyle w:val="9"/>
        </w:rPr>
        <w:t>23</w:t>
      </w:r>
      <w:r>
        <w:rPr>
          <w:rStyle w:val="9"/>
        </w:rPr>
        <w:fldChar w:fldCharType="end"/>
      </w:r>
      <w:r>
        <w:rPr>
          <w:rStyle w:val="9"/>
        </w:rPr>
        <w:fldChar w:fldCharType="end"/>
      </w:r>
    </w:p>
    <w:p>
      <w:pPr>
        <w:pStyle w:val="4"/>
        <w:autoSpaceDN w:val="0"/>
        <w:rPr>
          <w:rStyle w:val="9"/>
        </w:rPr>
      </w:pPr>
      <w:r>
        <w:rPr>
          <w:rStyle w:val="9"/>
        </w:rPr>
        <w:fldChar w:fldCharType="begin"/>
      </w:r>
      <w:r>
        <w:rPr>
          <w:rStyle w:val="9"/>
        </w:rPr>
        <w:instrText xml:space="preserve"> HYPERLINK \l "_Toc102032479" </w:instrText>
      </w:r>
      <w:r>
        <w:rPr>
          <w:rStyle w:val="9"/>
        </w:rPr>
        <w:fldChar w:fldCharType="separate"/>
      </w:r>
      <w:r>
        <w:rPr>
          <w:rStyle w:val="9"/>
          <w:rFonts w:hint="eastAsia"/>
        </w:rPr>
        <w:t>第五章</w:t>
      </w:r>
      <w:r>
        <w:rPr>
          <w:rStyle w:val="9"/>
        </w:rPr>
        <w:t xml:space="preserve">  </w:t>
      </w:r>
      <w:r>
        <w:rPr>
          <w:rStyle w:val="9"/>
          <w:rFonts w:hint="eastAsia"/>
        </w:rPr>
        <w:t>推进公共法律服务均衡发展</w:t>
      </w:r>
      <w:r>
        <w:rPr>
          <w:rStyle w:val="9"/>
        </w:rPr>
        <w:tab/>
      </w:r>
      <w:r>
        <w:rPr>
          <w:rStyle w:val="9"/>
        </w:rPr>
        <w:fldChar w:fldCharType="begin"/>
      </w:r>
      <w:r>
        <w:rPr>
          <w:rStyle w:val="9"/>
        </w:rPr>
        <w:instrText xml:space="preserve"> PAGEREF _Toc102032479 \h </w:instrText>
      </w:r>
      <w:r>
        <w:rPr>
          <w:rStyle w:val="9"/>
        </w:rPr>
        <w:fldChar w:fldCharType="separate"/>
      </w:r>
      <w:r>
        <w:rPr>
          <w:rStyle w:val="9"/>
        </w:rPr>
        <w:t>24</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"_Toc102032480" </w:instrText>
      </w:r>
      <w:r>
        <w:rPr>
          <w:rStyle w:val="9"/>
        </w:rPr>
        <w:fldChar w:fldCharType="separate"/>
      </w:r>
      <w:r>
        <w:rPr>
          <w:rStyle w:val="9"/>
          <w:rFonts w:hint="eastAsia"/>
        </w:rPr>
        <w:t>第一节</w:t>
      </w:r>
      <w:r>
        <w:rPr>
          <w:rStyle w:val="9"/>
        </w:rPr>
        <w:t xml:space="preserve">  </w:t>
      </w:r>
      <w:r>
        <w:rPr>
          <w:rStyle w:val="9"/>
          <w:rFonts w:hint="eastAsia"/>
        </w:rPr>
        <w:t>加强民族地区公共法律服务能力建设</w:t>
      </w:r>
      <w:r>
        <w:rPr>
          <w:rStyle w:val="9"/>
        </w:rPr>
        <w:tab/>
      </w:r>
      <w:r>
        <w:rPr>
          <w:rStyle w:val="9"/>
        </w:rPr>
        <w:fldChar w:fldCharType="begin"/>
      </w:r>
      <w:r>
        <w:rPr>
          <w:rStyle w:val="9"/>
        </w:rPr>
        <w:instrText xml:space="preserve"> PAGEREF _Toc102032480 \h </w:instrText>
      </w:r>
      <w:r>
        <w:rPr>
          <w:rStyle w:val="9"/>
        </w:rPr>
        <w:fldChar w:fldCharType="separate"/>
      </w:r>
      <w:r>
        <w:rPr>
          <w:rStyle w:val="9"/>
        </w:rPr>
        <w:t>24</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"_Toc102032481" </w:instrText>
      </w:r>
      <w:r>
        <w:rPr>
          <w:rStyle w:val="9"/>
        </w:rPr>
        <w:fldChar w:fldCharType="separate"/>
      </w:r>
      <w:r>
        <w:rPr>
          <w:rStyle w:val="9"/>
          <w:rFonts w:hint="eastAsia"/>
        </w:rPr>
        <w:t>第二节</w:t>
      </w:r>
      <w:r>
        <w:rPr>
          <w:rStyle w:val="9"/>
        </w:rPr>
        <w:t xml:space="preserve">  </w:t>
      </w:r>
      <w:r>
        <w:rPr>
          <w:rStyle w:val="9"/>
          <w:rFonts w:hint="eastAsia"/>
        </w:rPr>
        <w:t>推进公共法律服务区域协调发展</w:t>
      </w:r>
      <w:r>
        <w:rPr>
          <w:rStyle w:val="9"/>
        </w:rPr>
        <w:tab/>
      </w:r>
      <w:r>
        <w:rPr>
          <w:rStyle w:val="9"/>
        </w:rPr>
        <w:fldChar w:fldCharType="begin"/>
      </w:r>
      <w:r>
        <w:rPr>
          <w:rStyle w:val="9"/>
        </w:rPr>
        <w:instrText xml:space="preserve"> PAGEREF _Toc102032481 \h </w:instrText>
      </w:r>
      <w:r>
        <w:rPr>
          <w:rStyle w:val="9"/>
        </w:rPr>
        <w:fldChar w:fldCharType="separate"/>
      </w:r>
      <w:r>
        <w:rPr>
          <w:rStyle w:val="9"/>
        </w:rPr>
        <w:t>24</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"_Toc102032482" </w:instrText>
      </w:r>
      <w:r>
        <w:rPr>
          <w:rStyle w:val="9"/>
        </w:rPr>
        <w:fldChar w:fldCharType="separate"/>
      </w:r>
      <w:r>
        <w:rPr>
          <w:rStyle w:val="9"/>
          <w:rFonts w:hint="eastAsia"/>
        </w:rPr>
        <w:t>第三节</w:t>
      </w:r>
      <w:r>
        <w:rPr>
          <w:rStyle w:val="9"/>
        </w:rPr>
        <w:t xml:space="preserve">  </w:t>
      </w:r>
      <w:r>
        <w:rPr>
          <w:rStyle w:val="9"/>
          <w:rFonts w:hint="eastAsia"/>
        </w:rPr>
        <w:t>拓宽公共法律服务供给领域</w:t>
      </w:r>
      <w:r>
        <w:rPr>
          <w:rStyle w:val="9"/>
        </w:rPr>
        <w:tab/>
      </w:r>
      <w:r>
        <w:rPr>
          <w:rStyle w:val="9"/>
        </w:rPr>
        <w:fldChar w:fldCharType="begin"/>
      </w:r>
      <w:r>
        <w:rPr>
          <w:rStyle w:val="9"/>
        </w:rPr>
        <w:instrText xml:space="preserve"> PAGEREF _Toc102032482 \h </w:instrText>
      </w:r>
      <w:r>
        <w:rPr>
          <w:rStyle w:val="9"/>
        </w:rPr>
        <w:fldChar w:fldCharType="separate"/>
      </w:r>
      <w:r>
        <w:rPr>
          <w:rStyle w:val="9"/>
        </w:rPr>
        <w:t>25</w:t>
      </w:r>
      <w:r>
        <w:rPr>
          <w:rStyle w:val="9"/>
        </w:rPr>
        <w:fldChar w:fldCharType="end"/>
      </w:r>
      <w:r>
        <w:rPr>
          <w:rStyle w:val="9"/>
        </w:rPr>
        <w:fldChar w:fldCharType="end"/>
      </w:r>
    </w:p>
    <w:p>
      <w:pPr>
        <w:pStyle w:val="4"/>
        <w:autoSpaceDN w:val="0"/>
        <w:rPr>
          <w:rStyle w:val="9"/>
        </w:rPr>
      </w:pPr>
      <w:r>
        <w:rPr>
          <w:rStyle w:val="9"/>
        </w:rPr>
        <w:fldChar w:fldCharType="begin"/>
      </w:r>
      <w:r>
        <w:rPr>
          <w:rStyle w:val="9"/>
        </w:rPr>
        <w:instrText xml:space="preserve"> HYPERLINK \l "_Toc102032483" </w:instrText>
      </w:r>
      <w:r>
        <w:rPr>
          <w:rStyle w:val="9"/>
        </w:rPr>
        <w:fldChar w:fldCharType="separate"/>
      </w:r>
      <w:r>
        <w:rPr>
          <w:rStyle w:val="9"/>
          <w:rFonts w:hint="eastAsia"/>
        </w:rPr>
        <w:t>第六章</w:t>
      </w:r>
      <w:r>
        <w:rPr>
          <w:rStyle w:val="9"/>
        </w:rPr>
        <w:t xml:space="preserve">  </w:t>
      </w:r>
      <w:r>
        <w:rPr>
          <w:rStyle w:val="9"/>
          <w:rFonts w:hint="eastAsia"/>
        </w:rPr>
        <w:t>健全实施保障</w:t>
      </w:r>
      <w:r>
        <w:rPr>
          <w:rStyle w:val="9"/>
        </w:rPr>
        <w:tab/>
      </w:r>
      <w:r>
        <w:rPr>
          <w:rStyle w:val="9"/>
        </w:rPr>
        <w:fldChar w:fldCharType="begin"/>
      </w:r>
      <w:r>
        <w:rPr>
          <w:rStyle w:val="9"/>
        </w:rPr>
        <w:instrText xml:space="preserve"> PAGEREF _Toc102032483 \h </w:instrText>
      </w:r>
      <w:r>
        <w:rPr>
          <w:rStyle w:val="9"/>
        </w:rPr>
        <w:fldChar w:fldCharType="separate"/>
      </w:r>
      <w:r>
        <w:rPr>
          <w:rStyle w:val="9"/>
        </w:rPr>
        <w:t>28</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"_Toc102032484" </w:instrText>
      </w:r>
      <w:r>
        <w:rPr>
          <w:rStyle w:val="9"/>
        </w:rPr>
        <w:fldChar w:fldCharType="separate"/>
      </w:r>
      <w:r>
        <w:rPr>
          <w:rStyle w:val="9"/>
          <w:rFonts w:hint="eastAsia"/>
        </w:rPr>
        <w:t>第一节</w:t>
      </w:r>
      <w:r>
        <w:rPr>
          <w:rStyle w:val="9"/>
        </w:rPr>
        <w:t xml:space="preserve">  </w:t>
      </w:r>
      <w:r>
        <w:rPr>
          <w:rStyle w:val="9"/>
          <w:rFonts w:hint="eastAsia"/>
        </w:rPr>
        <w:t>加强党的领导</w:t>
      </w:r>
      <w:r>
        <w:rPr>
          <w:rStyle w:val="9"/>
        </w:rPr>
        <w:tab/>
      </w:r>
      <w:r>
        <w:rPr>
          <w:rStyle w:val="9"/>
        </w:rPr>
        <w:fldChar w:fldCharType="begin"/>
      </w:r>
      <w:r>
        <w:rPr>
          <w:rStyle w:val="9"/>
        </w:rPr>
        <w:instrText xml:space="preserve"> PAGEREF _Toc102032484 \h </w:instrText>
      </w:r>
      <w:r>
        <w:rPr>
          <w:rStyle w:val="9"/>
        </w:rPr>
        <w:fldChar w:fldCharType="separate"/>
      </w:r>
      <w:r>
        <w:rPr>
          <w:rStyle w:val="9"/>
        </w:rPr>
        <w:t>28</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"_Toc102032485" </w:instrText>
      </w:r>
      <w:r>
        <w:rPr>
          <w:rStyle w:val="9"/>
        </w:rPr>
        <w:fldChar w:fldCharType="separate"/>
      </w:r>
      <w:r>
        <w:rPr>
          <w:rStyle w:val="9"/>
          <w:rFonts w:hint="eastAsia"/>
        </w:rPr>
        <w:t>第二节</w:t>
      </w:r>
      <w:r>
        <w:rPr>
          <w:rStyle w:val="9"/>
        </w:rPr>
        <w:t xml:space="preserve">  </w:t>
      </w:r>
      <w:r>
        <w:rPr>
          <w:rStyle w:val="9"/>
          <w:rFonts w:hint="eastAsia"/>
        </w:rPr>
        <w:t>加强统筹协调</w:t>
      </w:r>
      <w:r>
        <w:rPr>
          <w:rStyle w:val="9"/>
        </w:rPr>
        <w:tab/>
      </w:r>
      <w:r>
        <w:rPr>
          <w:rStyle w:val="9"/>
        </w:rPr>
        <w:fldChar w:fldCharType="begin"/>
      </w:r>
      <w:r>
        <w:rPr>
          <w:rStyle w:val="9"/>
        </w:rPr>
        <w:instrText xml:space="preserve"> PAGEREF _Toc102032485 \h </w:instrText>
      </w:r>
      <w:r>
        <w:rPr>
          <w:rStyle w:val="9"/>
        </w:rPr>
        <w:fldChar w:fldCharType="separate"/>
      </w:r>
      <w:r>
        <w:rPr>
          <w:rStyle w:val="9"/>
        </w:rPr>
        <w:t>28</w:t>
      </w:r>
      <w:r>
        <w:rPr>
          <w:rStyle w:val="9"/>
        </w:rPr>
        <w:fldChar w:fldCharType="end"/>
      </w:r>
      <w:r>
        <w:rPr>
          <w:rStyle w:val="9"/>
        </w:rPr>
        <w:fldChar w:fldCharType="end"/>
      </w:r>
    </w:p>
    <w:p>
      <w:pPr>
        <w:pStyle w:val="5"/>
        <w:autoSpaceDN w:val="0"/>
        <w:rPr>
          <w:rStyle w:val="9"/>
        </w:rPr>
      </w:pPr>
      <w:r>
        <w:rPr>
          <w:rStyle w:val="9"/>
        </w:rPr>
        <w:fldChar w:fldCharType="begin"/>
      </w:r>
      <w:r>
        <w:rPr>
          <w:rStyle w:val="9"/>
        </w:rPr>
        <w:instrText xml:space="preserve"> HYPERLINK \l "_Toc102032486" </w:instrText>
      </w:r>
      <w:r>
        <w:rPr>
          <w:rStyle w:val="9"/>
        </w:rPr>
        <w:fldChar w:fldCharType="separate"/>
      </w:r>
      <w:r>
        <w:rPr>
          <w:rStyle w:val="9"/>
          <w:rFonts w:hint="eastAsia"/>
        </w:rPr>
        <w:t>第三节</w:t>
      </w:r>
      <w:r>
        <w:rPr>
          <w:rStyle w:val="9"/>
        </w:rPr>
        <w:t xml:space="preserve">  </w:t>
      </w:r>
      <w:r>
        <w:rPr>
          <w:rStyle w:val="9"/>
          <w:rFonts w:hint="eastAsia"/>
        </w:rPr>
        <w:t>加强基础保障</w:t>
      </w:r>
      <w:r>
        <w:rPr>
          <w:rStyle w:val="9"/>
        </w:rPr>
        <w:tab/>
      </w:r>
      <w:r>
        <w:rPr>
          <w:rStyle w:val="9"/>
        </w:rPr>
        <w:fldChar w:fldCharType="begin"/>
      </w:r>
      <w:r>
        <w:rPr>
          <w:rStyle w:val="9"/>
        </w:rPr>
        <w:instrText xml:space="preserve"> PAGEREF _Toc102032486 \h </w:instrText>
      </w:r>
      <w:r>
        <w:rPr>
          <w:rStyle w:val="9"/>
        </w:rPr>
        <w:fldChar w:fldCharType="separate"/>
      </w:r>
      <w:r>
        <w:rPr>
          <w:rStyle w:val="9"/>
        </w:rPr>
        <w:t>29</w:t>
      </w:r>
      <w:r>
        <w:rPr>
          <w:rStyle w:val="9"/>
        </w:rPr>
        <w:fldChar w:fldCharType="end"/>
      </w:r>
      <w:r>
        <w:rPr>
          <w:rStyle w:val="9"/>
        </w:rPr>
        <w:fldChar w:fldCharType="end"/>
      </w:r>
    </w:p>
    <w:p>
      <w:pPr>
        <w:pStyle w:val="5"/>
        <w:autoSpaceDN w:val="0"/>
        <w:rPr>
          <w:rFonts w:hint="eastAsia"/>
        </w:rPr>
      </w:pPr>
      <w:r>
        <w:rPr>
          <w:rStyle w:val="9"/>
          <w:rFonts w:hint="eastAsia"/>
        </w:rPr>
        <w:fldChar w:fldCharType="begin"/>
      </w:r>
      <w:r>
        <w:rPr>
          <w:rStyle w:val="9"/>
          <w:rFonts w:hint="eastAsia"/>
        </w:rPr>
        <w:instrText xml:space="preserve"> </w:instrText>
      </w:r>
      <w:r>
        <w:rPr>
          <w:rFonts w:hint="eastAsia"/>
        </w:rPr>
        <w:instrText xml:space="preserve">HYPERLINK \l "_Toc102032487"</w:instrText>
      </w:r>
      <w:r>
        <w:rPr>
          <w:rStyle w:val="9"/>
          <w:rFonts w:hint="eastAsia"/>
        </w:rPr>
        <w:instrText xml:space="preserve"> </w:instrText>
      </w:r>
      <w:r>
        <w:rPr>
          <w:rStyle w:val="9"/>
          <w:rFonts w:hint="eastAsia"/>
        </w:rPr>
        <w:fldChar w:fldCharType="separate"/>
      </w:r>
      <w:r>
        <w:rPr>
          <w:rStyle w:val="9"/>
          <w:rFonts w:hint="eastAsia"/>
        </w:rPr>
        <w:t>第四节  加强考评监管</w:t>
      </w:r>
      <w:r>
        <w:rPr>
          <w:rFonts w:hint="eastAsia"/>
        </w:rPr>
        <w:tab/>
      </w:r>
      <w:r>
        <w:rPr>
          <w:rFonts w:hint="eastAsia"/>
        </w:rPr>
        <w:fldChar w:fldCharType="begin"/>
      </w:r>
      <w:r>
        <w:rPr>
          <w:rFonts w:hint="eastAsia"/>
        </w:rPr>
        <w:instrText xml:space="preserve"> PAGEREF _Toc102032487 \h </w:instrText>
      </w:r>
      <w:r>
        <w:rPr>
          <w:rFonts w:hint="eastAsia"/>
        </w:rPr>
        <w:fldChar w:fldCharType="separate"/>
      </w:r>
      <w:r>
        <w:t>29</w:t>
      </w:r>
      <w:r>
        <w:rPr>
          <w:rFonts w:hint="eastAsia"/>
        </w:rPr>
        <w:fldChar w:fldCharType="end"/>
      </w:r>
      <w:r>
        <w:rPr>
          <w:rStyle w:val="9"/>
          <w:rFonts w:hint="eastAsia"/>
        </w:rPr>
        <w:fldChar w:fldCharType="end"/>
      </w:r>
    </w:p>
    <w:p>
      <w:pPr>
        <w:autoSpaceDN w:val="0"/>
        <w:rPr>
          <w:rFonts w:hint="eastAsia"/>
        </w:rPr>
      </w:pPr>
      <w:r>
        <w:rPr>
          <w:sz w:val="32"/>
          <w:szCs w:val="32"/>
        </w:rPr>
        <w:fldChar w:fldCharType="end"/>
      </w:r>
    </w:p>
    <w:p>
      <w:pPr>
        <w:autoSpaceDN w:val="0"/>
        <w:rPr>
          <w:rFonts w:hint="eastAsia"/>
        </w:rPr>
      </w:pPr>
    </w:p>
    <w:p>
      <w:pPr>
        <w:autoSpaceDN w:val="0"/>
        <w:rPr>
          <w:rFonts w:hint="eastAsia"/>
        </w:rPr>
      </w:pPr>
    </w:p>
    <w:p>
      <w:pPr>
        <w:autoSpaceDN w:val="0"/>
        <w:rPr>
          <w:rFonts w:hint="eastAsia"/>
        </w:rPr>
      </w:pPr>
    </w:p>
    <w:p>
      <w:pPr>
        <w:autoSpaceDN w:val="0"/>
        <w:rPr>
          <w:rFonts w:hint="eastAsia"/>
        </w:rPr>
      </w:pPr>
    </w:p>
    <w:p>
      <w:pPr>
        <w:autoSpaceDN w:val="0"/>
        <w:rPr>
          <w:rFonts w:hint="eastAsia"/>
        </w:rPr>
      </w:pPr>
    </w:p>
    <w:p>
      <w:pPr>
        <w:autoSpaceDN w:val="0"/>
        <w:rPr>
          <w:rFonts w:hint="eastAsia"/>
        </w:rPr>
      </w:pPr>
    </w:p>
    <w:p>
      <w:pPr>
        <w:autoSpaceDN w:val="0"/>
        <w:rPr>
          <w:rFonts w:hint="eastAsia"/>
        </w:rPr>
      </w:pPr>
    </w:p>
    <w:p>
      <w:pPr>
        <w:autoSpaceDN w:val="0"/>
        <w:rPr>
          <w:rFonts w:hint="eastAsia"/>
        </w:rPr>
      </w:pPr>
    </w:p>
    <w:p>
      <w:pPr>
        <w:autoSpaceDN w:val="0"/>
        <w:rPr>
          <w:rFonts w:hint="eastAsia"/>
        </w:rPr>
      </w:pPr>
    </w:p>
    <w:p>
      <w:pPr>
        <w:autoSpaceDN w:val="0"/>
        <w:rPr>
          <w:rFonts w:hint="eastAsia"/>
        </w:rPr>
      </w:pPr>
    </w:p>
    <w:p>
      <w:pPr>
        <w:autoSpaceDN w:val="0"/>
        <w:rPr>
          <w:rFonts w:hint="eastAsia"/>
        </w:rPr>
      </w:pPr>
    </w:p>
    <w:p>
      <w:pPr>
        <w:autoSpaceDN w:val="0"/>
        <w:rPr>
          <w:rFonts w:hint="eastAsia"/>
        </w:rPr>
      </w:pPr>
    </w:p>
    <w:p>
      <w:pPr>
        <w:autoSpaceDN w:val="0"/>
        <w:rPr>
          <w:rFonts w:hint="eastAsia"/>
        </w:rPr>
      </w:pPr>
    </w:p>
    <w:p>
      <w:pPr>
        <w:autoSpaceDN w:val="0"/>
        <w:rPr>
          <w:rFonts w:hint="eastAsia"/>
        </w:rPr>
      </w:pPr>
    </w:p>
    <w:p>
      <w:pPr>
        <w:autoSpaceDN w:val="0"/>
        <w:rPr>
          <w:rFonts w:hint="eastAsia"/>
        </w:rPr>
      </w:pPr>
    </w:p>
    <w:p>
      <w:pPr>
        <w:autoSpaceDN w:val="0"/>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深入贯彻落实党中央、国务院和省委省政府、市委市政府关于加快公共法律服务体系建设的决策部署，切实满足人民群众日益增长的法律服务需求，加快构建与我市经济社会发展相适应的现代公共法律服务体系，推进社会治理体系和治理能力现代化，根据《全国公共法律服务体系建设规划（2021—2025年）》《四川省“十四五”公共法律服务体系建设规划》《乐山市国民经济和社会发展第十四个五年规划和二</w:t>
      </w:r>
      <w:r>
        <w:rPr>
          <w:rFonts w:hint="eastAsia" w:ascii="仿宋_GB2312"/>
          <w:sz w:val="32"/>
          <w:szCs w:val="32"/>
        </w:rPr>
        <w:t>〇</w:t>
      </w:r>
      <w:r>
        <w:rPr>
          <w:rFonts w:hint="eastAsia" w:ascii="仿宋_GB2312" w:eastAsia="仿宋_GB2312"/>
          <w:sz w:val="32"/>
          <w:szCs w:val="32"/>
        </w:rPr>
        <w:t>三五年远景目标纲要》，结合我市实际，编制本规划。</w:t>
      </w:r>
    </w:p>
    <w:p>
      <w:pPr>
        <w:autoSpaceDN w:val="0"/>
        <w:adjustRightInd w:val="0"/>
        <w:snapToGrid w:val="0"/>
        <w:spacing w:line="600" w:lineRule="exact"/>
        <w:ind w:firstLine="640" w:firstLineChars="200"/>
        <w:rPr>
          <w:rFonts w:hint="eastAsia" w:ascii="仿宋_GB2312" w:eastAsia="仿宋_GB2312"/>
          <w:sz w:val="32"/>
          <w:szCs w:val="32"/>
        </w:rPr>
      </w:pPr>
      <w:bookmarkStart w:id="0" w:name="_Toc1354091032"/>
      <w:bookmarkStart w:id="1" w:name="_Toc73538228"/>
      <w:bookmarkStart w:id="2" w:name="_Toc461916515_WPSOffice_Level1"/>
    </w:p>
    <w:p>
      <w:pPr>
        <w:pStyle w:val="10"/>
        <w:autoSpaceDN w:val="0"/>
        <w:rPr>
          <w:rFonts w:hint="eastAsia"/>
        </w:rPr>
      </w:pPr>
      <w:bookmarkStart w:id="3" w:name="_Toc102032458"/>
      <w:r>
        <w:rPr>
          <w:rFonts w:hint="eastAsia"/>
        </w:rPr>
        <w:t xml:space="preserve">第一章  </w:t>
      </w:r>
      <w:bookmarkEnd w:id="0"/>
      <w:bookmarkEnd w:id="1"/>
      <w:bookmarkEnd w:id="2"/>
      <w:r>
        <w:rPr>
          <w:rFonts w:hint="eastAsia"/>
        </w:rPr>
        <w:t>规划背景</w:t>
      </w:r>
      <w:bookmarkEnd w:id="3"/>
    </w:p>
    <w:p>
      <w:pPr>
        <w:autoSpaceDN w:val="0"/>
        <w:adjustRightInd w:val="0"/>
        <w:snapToGrid w:val="0"/>
        <w:spacing w:line="600" w:lineRule="exact"/>
        <w:ind w:firstLine="640" w:firstLineChars="200"/>
        <w:rPr>
          <w:rFonts w:hint="eastAsia" w:ascii="仿宋_GB2312" w:eastAsia="仿宋_GB2312"/>
          <w:sz w:val="32"/>
          <w:szCs w:val="32"/>
        </w:rPr>
      </w:pPr>
    </w:p>
    <w:p>
      <w:pPr>
        <w:pStyle w:val="11"/>
        <w:autoSpaceDN w:val="0"/>
        <w:rPr>
          <w:rFonts w:hint="eastAsia"/>
        </w:rPr>
      </w:pPr>
      <w:bookmarkStart w:id="4" w:name="_Toc102032459"/>
      <w:r>
        <w:rPr>
          <w:rFonts w:hint="eastAsia"/>
        </w:rPr>
        <w:t>第一节  发展基础</w:t>
      </w:r>
      <w:bookmarkEnd w:id="4"/>
    </w:p>
    <w:p>
      <w:pPr>
        <w:autoSpaceDN w:val="0"/>
        <w:adjustRightInd w:val="0"/>
        <w:snapToGrid w:val="0"/>
        <w:spacing w:line="600" w:lineRule="exact"/>
        <w:ind w:firstLine="640" w:firstLineChars="200"/>
        <w:rPr>
          <w:rFonts w:hint="eastAsia" w:ascii="仿宋_GB2312" w:eastAsia="仿宋_GB2312"/>
          <w:sz w:val="32"/>
          <w:szCs w:val="32"/>
        </w:rPr>
      </w:pPr>
    </w:p>
    <w:p>
      <w:pPr>
        <w:autoSpaceDN w:val="0"/>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公共法律服务是政府公共职能的重要组成部分，是保障和改善民生的重要举措，是全面依法治国的基础性、服务性和保障性工作。“十三五”期间，全市公共法律服务体系建设持续推进，覆盖城乡的公共法律服务网络基本建成，法律服务业稳步发展，公共法律服务供给能力显著提升，人民群众的获得感、幸福感、安全感进一步增强，初步实现从有到好的明显转变。</w:t>
      </w:r>
    </w:p>
    <w:p>
      <w:pPr>
        <w:autoSpaceDN w:val="0"/>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公共法律服务网络初步建成。实体平台建设逐步完善，热线咨询数量快速增长，网络平台服务稳步提升。市公共法律服务中心建成投用，整合法律援助、人民调解、公证、仲裁、司法鉴定、行政复议、行政许可等资源，优化构建市政务服务中心分中心、行政争议多元化解中心、商事调解中心、矛盾纠纷多元化解协调中心、法律援助中心“1+5”功能模式，设置集多项职能于一体的“窗口化”服务平台和“乐山普法”“法治大讲堂”“智慧公证”等一批微端办事、网络直播平台。截至2020年底，全市建成市、县（市、区）公共法律服务中心12个，乡（镇、街道）公共法律服务工作站132个，村（社区）公共法律服务工作室1370个，实现“一村（社区）一法律顾问”全覆盖。“12348”公共法律服务热线实现与“12345”心连心平台联动运行，升级为全天候24小时响应。2020年全市“12348”热线解答群众咨询5741人次。</w:t>
      </w:r>
    </w:p>
    <w:p>
      <w:pPr>
        <w:autoSpaceDN w:val="0"/>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法律服务行业健康有序发展。律师行业发展迅速，公证机构活力增强，司法鉴定管理体制改革不断深化，仲裁改革发展有序推进，人民调解“第一道防线”功能得到新凸显，普法依法治理成效明显。2020年全市律师、公证、仲裁、司法鉴定、基层法律服务、法律援助等法律服务机构108家，法律服务人员952人，办理案件9.6万余件，人民调解委员会1762个，人民调解员13092人，调解案件9101件，调解成功率98.95%。</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公共法律服务质效稳步提升。深入开展“法律七进”，2020年开展各类主题法治宣传活动1750余场（次），建有各类法治文化广场、公园等固定法治宣传阵地54个，开通“法治号”公交61辆，试点建设法治小区5个，创办新市民法治学校、新农村法治夜校1980个，印制峨眉山法治漫画、夹江法治年画、井研法治农民画“法治三画”普法画册2万余册，推出精品“法治公开课”52期，举办公共法律服务宣传周活动，全市中小学校配备“法治副校长”608人。创新开展“法惠民生十大行动”，持续开展“彝家·法治新寨”助推乡村振兴活动，有效推广“德古调解法”。“乐山普法”“法治大讲堂”“远程公证”“夹江法律超市”“周末学典”和“鸽鸽讲堂”等普法优秀品牌不断涌现。“十三五”期间，5个单位先后获得“全国公共法律服务工作先进集体”“全国法律援助先进集体”和“全国模范司法所”等荣誉。</w:t>
      </w:r>
    </w:p>
    <w:p>
      <w:pPr>
        <w:autoSpaceDN w:val="0"/>
        <w:adjustRightInd w:val="0"/>
        <w:snapToGrid w:val="0"/>
        <w:spacing w:line="580" w:lineRule="exact"/>
        <w:ind w:firstLine="640" w:firstLineChars="200"/>
        <w:rPr>
          <w:rFonts w:hint="eastAsia" w:ascii="仿宋_GB2312" w:eastAsia="仿宋_GB2312"/>
          <w:sz w:val="32"/>
          <w:szCs w:val="32"/>
        </w:rPr>
      </w:pPr>
    </w:p>
    <w:p>
      <w:pPr>
        <w:pStyle w:val="11"/>
        <w:autoSpaceDN w:val="0"/>
        <w:rPr>
          <w:rFonts w:hint="eastAsia"/>
        </w:rPr>
      </w:pPr>
      <w:bookmarkStart w:id="5" w:name="_Toc102032460"/>
      <w:r>
        <w:rPr>
          <w:rFonts w:hint="eastAsia"/>
        </w:rPr>
        <w:t>第二节  面临形势</w:t>
      </w:r>
      <w:bookmarkEnd w:id="5"/>
      <w:bookmarkStart w:id="6" w:name="_Toc68954485"/>
    </w:p>
    <w:p>
      <w:pPr>
        <w:autoSpaceDN w:val="0"/>
        <w:adjustRightInd w:val="0"/>
        <w:snapToGrid w:val="0"/>
        <w:spacing w:line="580" w:lineRule="exact"/>
        <w:ind w:firstLine="640" w:firstLineChars="200"/>
        <w:rPr>
          <w:rFonts w:hint="eastAsia" w:ascii="仿宋_GB2312" w:eastAsia="仿宋_GB2312"/>
          <w:sz w:val="32"/>
          <w:szCs w:val="32"/>
        </w:rPr>
      </w:pP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十三五”时期，我市公共法律体系建设虽然取得了积极成效，同时也存在短板和不足。公共法律服务基础保障有待完善，公共法律服务虽纳入公共服务范畴，但人员、经费、基础设施建设政策保障尚未配套，部门共同参与机制不够健全。公共法律服务供给不平衡不充分，资源配置不均衡，供给能力不足，60%以上公共法律服务资源集中在中心城区，民族地区人员、基础设施等资源短缺问题突出。公共法律服务队伍整体水平不高，复合型人才和涉外法律专业人才匮乏，广大人民群众对公共法律服务知晓率和参与度不高，公共法律服务供给质量仍待提高。公共法律服务信息化建设程度不高，智能产品开发能力较弱，服务精准性、主动性有待提高，不能完全满足不同层次、不同人群法律服务需求。</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十四五”时期，我市公共法律服务体系建设面临新的机遇和挑战。高质量改革发展任务对公共法律服务作用发挥提出新要求。我市处于全面开启建设社会主义现代化乐山新征程、实现高质量发展的关键时期，改革发展任务艰巨繁重，社会治理风险挑战增多，运用法治思维和法治方式应对风险挑战，推进全面依法治市，对充分发挥公共法律服务职能作用提出新的更高要求。快速增长的服务需求对公共法律服务体系建设提出新期待。我市经济社会发展水平迈上新台阶，人民生活水平实现新跨越，人民群众在民主、法治、公平、正义、安全、环境等方面的需求日益增长，要求公共法律服务供给更加充分、优质、便捷。新技术的广泛应用为公共法律服务供给侧改革提供新支撑。以云计算、大数据、人工智能等为代表的新技术不断涌现，创新公共法律服务供给方式，能够有效提升精准服务、主动响应的公共法律服务供给能力，有利于实现“人找服务”到“服务找人”的转变。</w:t>
      </w:r>
    </w:p>
    <w:bookmarkEnd w:id="6"/>
    <w:p>
      <w:pPr>
        <w:autoSpaceDN w:val="0"/>
        <w:adjustRightInd w:val="0"/>
        <w:snapToGrid w:val="0"/>
        <w:spacing w:line="580" w:lineRule="exact"/>
        <w:ind w:firstLine="640" w:firstLineChars="200"/>
        <w:rPr>
          <w:rFonts w:hint="eastAsia" w:ascii="仿宋_GB2312" w:eastAsia="仿宋_GB2312"/>
          <w:sz w:val="32"/>
          <w:szCs w:val="32"/>
        </w:rPr>
      </w:pPr>
      <w:bookmarkStart w:id="7" w:name="_Toc73538232"/>
      <w:bookmarkStart w:id="8" w:name="_Toc68954486"/>
      <w:bookmarkStart w:id="9" w:name="_Toc1164730580_WPSOffice_Level1"/>
      <w:bookmarkStart w:id="10" w:name="_Toc994627646"/>
    </w:p>
    <w:p>
      <w:pPr>
        <w:pStyle w:val="10"/>
        <w:autoSpaceDN w:val="0"/>
        <w:rPr>
          <w:rFonts w:hint="eastAsia"/>
        </w:rPr>
      </w:pPr>
      <w:bookmarkStart w:id="11" w:name="_Toc102032461"/>
      <w:r>
        <w:rPr>
          <w:rFonts w:hint="eastAsia"/>
        </w:rPr>
        <w:t>第二章  总体要求</w:t>
      </w:r>
      <w:bookmarkEnd w:id="7"/>
      <w:bookmarkEnd w:id="8"/>
      <w:bookmarkEnd w:id="9"/>
      <w:bookmarkEnd w:id="10"/>
      <w:bookmarkEnd w:id="11"/>
      <w:bookmarkStart w:id="12" w:name="_Toc694138074"/>
      <w:bookmarkStart w:id="13" w:name="_Toc1313415655_WPSOffice_Level2"/>
      <w:bookmarkStart w:id="14" w:name="_Toc73538233"/>
      <w:bookmarkStart w:id="15" w:name="_Toc68954487"/>
    </w:p>
    <w:p>
      <w:pPr>
        <w:autoSpaceDN w:val="0"/>
        <w:adjustRightInd w:val="0"/>
        <w:snapToGrid w:val="0"/>
        <w:spacing w:line="600" w:lineRule="exact"/>
        <w:ind w:firstLine="640" w:firstLineChars="200"/>
        <w:rPr>
          <w:rFonts w:hint="eastAsia" w:ascii="仿宋_GB2312" w:eastAsia="仿宋_GB2312"/>
          <w:sz w:val="32"/>
          <w:szCs w:val="32"/>
        </w:rPr>
      </w:pPr>
    </w:p>
    <w:p>
      <w:pPr>
        <w:pStyle w:val="11"/>
        <w:autoSpaceDN w:val="0"/>
        <w:rPr>
          <w:rFonts w:hint="eastAsia"/>
        </w:rPr>
      </w:pPr>
      <w:bookmarkStart w:id="16" w:name="_Toc102032462"/>
      <w:r>
        <w:rPr>
          <w:rFonts w:hint="eastAsia"/>
        </w:rPr>
        <w:t>第一节  指导思想</w:t>
      </w:r>
      <w:bookmarkEnd w:id="12"/>
      <w:bookmarkEnd w:id="13"/>
      <w:bookmarkEnd w:id="14"/>
      <w:bookmarkEnd w:id="15"/>
      <w:bookmarkEnd w:id="16"/>
    </w:p>
    <w:p>
      <w:pPr>
        <w:autoSpaceDN w:val="0"/>
        <w:adjustRightInd w:val="0"/>
        <w:snapToGrid w:val="0"/>
        <w:spacing w:line="580" w:lineRule="exact"/>
        <w:ind w:firstLine="640" w:firstLineChars="200"/>
        <w:rPr>
          <w:rFonts w:hint="eastAsia" w:ascii="仿宋_GB2312" w:eastAsia="仿宋_GB2312"/>
          <w:sz w:val="32"/>
          <w:szCs w:val="32"/>
        </w:rPr>
      </w:pPr>
    </w:p>
    <w:p>
      <w:pPr>
        <w:autoSpaceDN w:val="0"/>
        <w:adjustRightInd w:val="0"/>
        <w:snapToGrid w:val="0"/>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以习近平新时代中国特色社会主义思想为指导，深入学习领会习近平法治思想，全面贯彻落实党的十九大和十九届历次全会精神及省委、市委系列决策部署，牢固树立以人民为中心的发展理念，大力弘扬社会主义核心价值观，围绕未来五年市委“345”工作思路，更好满足广大人民群众日益增长的公共法律服务需求，加快推进覆盖城乡、便捷高效、均等普惠、智能精准的现代公共法律服务体系建设，持续增加和优化服务供给，稳步提升保障能力和水平，为奋力谱写全面建设社会主义现代化乐山新篇章提供优质高效的公共法律服务，切实增强人民群众的获得感、幸福感、安全感。</w:t>
      </w:r>
      <w:bookmarkStart w:id="17" w:name="_Toc68954488"/>
    </w:p>
    <w:p>
      <w:pPr>
        <w:autoSpaceDN w:val="0"/>
        <w:adjustRightInd w:val="0"/>
        <w:snapToGrid w:val="0"/>
        <w:spacing w:line="620" w:lineRule="exact"/>
        <w:ind w:firstLine="640" w:firstLineChars="200"/>
        <w:rPr>
          <w:rFonts w:hint="eastAsia" w:ascii="仿宋_GB2312" w:eastAsia="仿宋_GB2312"/>
          <w:sz w:val="32"/>
          <w:szCs w:val="32"/>
        </w:rPr>
      </w:pPr>
      <w:bookmarkStart w:id="18" w:name="_Toc73538234"/>
      <w:bookmarkStart w:id="19" w:name="_Toc1247439214"/>
      <w:bookmarkStart w:id="20" w:name="_Toc592506072_WPSOffice_Level2"/>
    </w:p>
    <w:p>
      <w:pPr>
        <w:pStyle w:val="11"/>
        <w:autoSpaceDN w:val="0"/>
        <w:spacing w:line="620" w:lineRule="exact"/>
        <w:rPr>
          <w:rFonts w:hint="eastAsia"/>
        </w:rPr>
      </w:pPr>
      <w:bookmarkStart w:id="21" w:name="_Toc102032463"/>
      <w:r>
        <w:rPr>
          <w:rFonts w:hint="eastAsia"/>
        </w:rPr>
        <w:t>第二节  基本原则</w:t>
      </w:r>
      <w:bookmarkEnd w:id="17"/>
      <w:bookmarkEnd w:id="18"/>
      <w:bookmarkEnd w:id="19"/>
      <w:bookmarkEnd w:id="20"/>
      <w:bookmarkEnd w:id="21"/>
    </w:p>
    <w:p>
      <w:pPr>
        <w:autoSpaceDN w:val="0"/>
        <w:adjustRightInd w:val="0"/>
        <w:snapToGrid w:val="0"/>
        <w:spacing w:line="620" w:lineRule="exact"/>
        <w:ind w:firstLine="640" w:firstLineChars="200"/>
        <w:rPr>
          <w:rFonts w:hint="eastAsia" w:ascii="仿宋_GB2312" w:eastAsia="仿宋_GB2312"/>
          <w:sz w:val="32"/>
          <w:szCs w:val="32"/>
        </w:rPr>
      </w:pPr>
    </w:p>
    <w:p>
      <w:pPr>
        <w:autoSpaceDN w:val="0"/>
        <w:adjustRightInd w:val="0"/>
        <w:snapToGrid w:val="0"/>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坚持系统推进。健全党委领导、政府主导、部门协同、社会参与的公共法律服务新格局，加强公共法律服务的整体统筹、协调推进。落实政府推进公共法律服务体系建设的主体责任，加大投入力度，激发各类社会主体参与公共法律服务的积极性。</w:t>
      </w:r>
    </w:p>
    <w:p>
      <w:pPr>
        <w:autoSpaceDN w:val="0"/>
        <w:adjustRightInd w:val="0"/>
        <w:snapToGrid w:val="0"/>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坚持分类施策。立足市情，根据各地经济社会发展水平和人民群众法律服务需求差异，因地制宜，分类实施，共建共享，推进全市公共法律服务体系建设与经济社会协调发展。</w:t>
      </w:r>
    </w:p>
    <w:p>
      <w:pPr>
        <w:autoSpaceDN w:val="0"/>
        <w:adjustRightInd w:val="0"/>
        <w:snapToGrid w:val="0"/>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坚持人民至上。始终把维护人民群众合法权益作为出发点和落脚点，通过优质、高效、便捷的公共法律服务帮助解决人民群众的操心事、烦心事、揪心事，进一步提升人民群众对公共法律服务的知晓率、首选率和满意率，使公共法律服务体系建设成果更多更公平惠及全体人民。</w:t>
      </w:r>
    </w:p>
    <w:p>
      <w:pPr>
        <w:autoSpaceDN w:val="0"/>
        <w:adjustRightInd w:val="0"/>
        <w:snapToGrid w:val="0"/>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坚持科技赋能。充分发挥现代科技手段的重要作用，推动公共法律服务供给内容和供给模式创新。适应“互联网+”新形势，构建智能化的公共法律服务网络，拓展为民服务的新路径，促进资源共建共享，多平台融合发展。</w:t>
      </w:r>
    </w:p>
    <w:p>
      <w:pPr>
        <w:autoSpaceDN w:val="0"/>
        <w:adjustRightInd w:val="0"/>
        <w:snapToGrid w:val="0"/>
        <w:spacing w:line="620" w:lineRule="exact"/>
        <w:ind w:firstLine="640" w:firstLineChars="200"/>
        <w:rPr>
          <w:rFonts w:hint="eastAsia" w:ascii="仿宋_GB2312" w:eastAsia="仿宋_GB2312"/>
          <w:sz w:val="32"/>
          <w:szCs w:val="32"/>
        </w:rPr>
      </w:pPr>
      <w:bookmarkStart w:id="22" w:name="_Toc68954489"/>
      <w:bookmarkStart w:id="23" w:name="_Toc367880965_WPSOffice_Level2"/>
      <w:bookmarkStart w:id="24" w:name="_Toc73538235"/>
      <w:bookmarkStart w:id="25" w:name="_Toc1975507684"/>
    </w:p>
    <w:p>
      <w:pPr>
        <w:pStyle w:val="11"/>
        <w:autoSpaceDN w:val="0"/>
        <w:spacing w:line="620" w:lineRule="exact"/>
        <w:rPr>
          <w:rFonts w:hint="eastAsia"/>
        </w:rPr>
      </w:pPr>
      <w:bookmarkStart w:id="26" w:name="_Toc102032464"/>
      <w:r>
        <w:rPr>
          <w:rFonts w:hint="eastAsia"/>
        </w:rPr>
        <w:t>第三节  主要目标</w:t>
      </w:r>
      <w:bookmarkEnd w:id="22"/>
      <w:bookmarkEnd w:id="23"/>
      <w:bookmarkEnd w:id="24"/>
      <w:bookmarkEnd w:id="25"/>
      <w:bookmarkEnd w:id="26"/>
    </w:p>
    <w:p>
      <w:pPr>
        <w:autoSpaceDN w:val="0"/>
        <w:adjustRightInd w:val="0"/>
        <w:snapToGrid w:val="0"/>
        <w:spacing w:line="620" w:lineRule="exact"/>
        <w:ind w:firstLine="640" w:firstLineChars="200"/>
        <w:rPr>
          <w:rFonts w:hint="eastAsia" w:ascii="仿宋_GB2312" w:eastAsia="仿宋_GB2312"/>
          <w:sz w:val="32"/>
          <w:szCs w:val="32"/>
        </w:rPr>
      </w:pPr>
    </w:p>
    <w:p>
      <w:pPr>
        <w:autoSpaceDN w:val="0"/>
        <w:adjustRightInd w:val="0"/>
        <w:snapToGrid w:val="0"/>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到2025年，全面建成覆盖城乡、便捷高效、均等普惠、智能精准的现代公共法律服务体系，公共法律服务体制机制不断完善，服务平台功能有效发挥，服务设施全面覆盖,服务网络互联互通，服务供给持续优化，服务能力全面提升，服务保障更加坚实有力，服务质量显著提高，公共法律服务均等化、便捷化、专业化、智能化水平全面提升，多元化法律服务需求进一步得到满足，实现我市公共法律服务由“大”向“强”的转变，有效满足人民群众日益增长的公共法律服务需求,为2035年基本形成与法治国家、法治政府、法治社会基本建成目标相适应的公共法律服务体系奠定坚实基础。</w:t>
      </w:r>
    </w:p>
    <w:p>
      <w:pPr>
        <w:autoSpaceDN w:val="0"/>
        <w:rPr>
          <w:rFonts w:hint="eastAsia"/>
        </w:rPr>
      </w:pPr>
    </w:p>
    <w:p>
      <w:pPr>
        <w:autoSpaceDN w:val="0"/>
        <w:adjustRightInd w:val="0"/>
        <w:snapToGrid w:val="0"/>
        <w:spacing w:line="580" w:lineRule="exact"/>
        <w:jc w:val="center"/>
        <w:rPr>
          <w:rFonts w:hint="eastAsia" w:ascii="仿宋_GB2312" w:eastAsia="仿宋_GB2312"/>
          <w:sz w:val="24"/>
        </w:rPr>
      </w:pPr>
      <w:r>
        <w:rPr>
          <w:rFonts w:hint="eastAsia" w:ascii="仿宋_GB2312" w:eastAsia="仿宋_GB2312"/>
          <w:sz w:val="24"/>
        </w:rPr>
        <w:t>表1  “十四五”时期乐山市公共法律服务体系建设主要发展指标</w:t>
      </w:r>
    </w:p>
    <w:tbl>
      <w:tblPr>
        <w:tblStyle w:val="7"/>
        <w:tblW w:w="10010"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146"/>
        <w:gridCol w:w="3314"/>
        <w:gridCol w:w="1541"/>
        <w:gridCol w:w="1593"/>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148" w:type="dxa"/>
            <w:noWrap w:val="0"/>
            <w:tcMar>
              <w:top w:w="0" w:type="dxa"/>
              <w:left w:w="0" w:type="dxa"/>
              <w:bottom w:w="0" w:type="dxa"/>
              <w:right w:w="0" w:type="dxa"/>
            </w:tcMar>
            <w:vAlign w:val="center"/>
          </w:tcPr>
          <w:p>
            <w:pPr>
              <w:autoSpaceDN w:val="0"/>
              <w:jc w:val="center"/>
              <w:rPr>
                <w:rFonts w:hint="eastAsia" w:ascii="黑体" w:hAnsi="黑体" w:eastAsia="黑体"/>
                <w:sz w:val="24"/>
              </w:rPr>
            </w:pPr>
            <w:r>
              <w:rPr>
                <w:rFonts w:hint="eastAsia" w:ascii="黑体" w:hAnsi="黑体" w:eastAsia="黑体"/>
                <w:sz w:val="24"/>
              </w:rPr>
              <w:t>领域</w:t>
            </w:r>
          </w:p>
        </w:tc>
        <w:tc>
          <w:tcPr>
            <w:tcW w:w="4460" w:type="dxa"/>
            <w:gridSpan w:val="2"/>
            <w:noWrap w:val="0"/>
            <w:tcMar>
              <w:top w:w="0" w:type="dxa"/>
              <w:left w:w="0" w:type="dxa"/>
              <w:bottom w:w="0" w:type="dxa"/>
              <w:right w:w="0" w:type="dxa"/>
            </w:tcMar>
            <w:vAlign w:val="center"/>
          </w:tcPr>
          <w:p>
            <w:pPr>
              <w:autoSpaceDN w:val="0"/>
              <w:jc w:val="center"/>
              <w:rPr>
                <w:rFonts w:hint="eastAsia" w:ascii="黑体" w:hAnsi="黑体" w:eastAsia="黑体"/>
                <w:sz w:val="24"/>
              </w:rPr>
            </w:pPr>
            <w:r>
              <w:rPr>
                <w:rFonts w:hint="eastAsia" w:ascii="黑体" w:hAnsi="黑体" w:eastAsia="黑体"/>
                <w:sz w:val="24"/>
              </w:rPr>
              <w:t>指标名称</w:t>
            </w:r>
          </w:p>
        </w:tc>
        <w:tc>
          <w:tcPr>
            <w:tcW w:w="1541" w:type="dxa"/>
            <w:noWrap w:val="0"/>
            <w:tcMar>
              <w:top w:w="0" w:type="dxa"/>
              <w:left w:w="0" w:type="dxa"/>
              <w:bottom w:w="0" w:type="dxa"/>
              <w:right w:w="0" w:type="dxa"/>
            </w:tcMar>
            <w:vAlign w:val="center"/>
          </w:tcPr>
          <w:p>
            <w:pPr>
              <w:autoSpaceDN w:val="0"/>
              <w:jc w:val="center"/>
              <w:rPr>
                <w:rFonts w:hint="eastAsia" w:ascii="黑体" w:hAnsi="黑体" w:eastAsia="黑体"/>
                <w:sz w:val="24"/>
              </w:rPr>
            </w:pPr>
            <w:r>
              <w:rPr>
                <w:rFonts w:hint="eastAsia" w:ascii="黑体" w:hAnsi="黑体" w:eastAsia="黑体"/>
                <w:sz w:val="24"/>
              </w:rPr>
              <w:t>2020年情况</w:t>
            </w:r>
          </w:p>
        </w:tc>
        <w:tc>
          <w:tcPr>
            <w:tcW w:w="1593" w:type="dxa"/>
            <w:noWrap w:val="0"/>
            <w:tcMar>
              <w:top w:w="0" w:type="dxa"/>
              <w:left w:w="0" w:type="dxa"/>
              <w:bottom w:w="0" w:type="dxa"/>
              <w:right w:w="0" w:type="dxa"/>
            </w:tcMar>
            <w:vAlign w:val="center"/>
          </w:tcPr>
          <w:p>
            <w:pPr>
              <w:autoSpaceDN w:val="0"/>
              <w:jc w:val="center"/>
              <w:rPr>
                <w:rFonts w:hint="eastAsia" w:ascii="黑体" w:hAnsi="黑体" w:eastAsia="黑体"/>
                <w:sz w:val="24"/>
              </w:rPr>
            </w:pPr>
            <w:r>
              <w:rPr>
                <w:rFonts w:hint="eastAsia" w:ascii="黑体" w:hAnsi="黑体" w:eastAsia="黑体"/>
                <w:sz w:val="24"/>
              </w:rPr>
              <w:t>2025年目标</w:t>
            </w:r>
          </w:p>
        </w:tc>
        <w:tc>
          <w:tcPr>
            <w:tcW w:w="1268" w:type="dxa"/>
            <w:noWrap w:val="0"/>
            <w:tcMar>
              <w:top w:w="0" w:type="dxa"/>
              <w:left w:w="0" w:type="dxa"/>
              <w:bottom w:w="0" w:type="dxa"/>
              <w:right w:w="0" w:type="dxa"/>
            </w:tcMar>
            <w:vAlign w:val="center"/>
          </w:tcPr>
          <w:p>
            <w:pPr>
              <w:autoSpaceDN w:val="0"/>
              <w:jc w:val="center"/>
              <w:rPr>
                <w:rFonts w:hint="eastAsia" w:ascii="黑体" w:hAnsi="黑体" w:eastAsia="黑体"/>
                <w:sz w:val="24"/>
              </w:rPr>
            </w:pPr>
            <w:r>
              <w:rPr>
                <w:rFonts w:hint="eastAsia" w:ascii="黑体" w:hAnsi="黑体" w:eastAsia="黑体"/>
                <w:sz w:val="24"/>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148" w:type="dxa"/>
            <w:vMerge w:val="restart"/>
            <w:noWrap w:val="0"/>
            <w:tcMar>
              <w:top w:w="0" w:type="dxa"/>
              <w:left w:w="0" w:type="dxa"/>
              <w:bottom w:w="0" w:type="dxa"/>
              <w:right w:w="0" w:type="dxa"/>
            </w:tcMar>
            <w:vAlign w:val="center"/>
          </w:tcPr>
          <w:p>
            <w:pPr>
              <w:numPr>
                <w:ilvl w:val="0"/>
                <w:numId w:val="1"/>
              </w:numPr>
              <w:autoSpaceDN w:val="0"/>
              <w:rPr>
                <w:rFonts w:hint="eastAsia" w:ascii="仿宋_GB2312" w:eastAsia="仿宋_GB2312"/>
                <w:sz w:val="24"/>
              </w:rPr>
            </w:pPr>
            <w:r>
              <w:rPr>
                <w:rFonts w:hint="eastAsia" w:ascii="仿宋_GB2312" w:eastAsia="仿宋_GB2312"/>
                <w:sz w:val="24"/>
              </w:rPr>
              <w:t>普法依法治理</w:t>
            </w:r>
          </w:p>
          <w:p>
            <w:pPr>
              <w:autoSpaceDN w:val="0"/>
              <w:rPr>
                <w:rFonts w:hint="eastAsia" w:ascii="仿宋_GB2312" w:eastAsia="仿宋_GB2312"/>
                <w:sz w:val="24"/>
              </w:rPr>
            </w:pPr>
          </w:p>
        </w:tc>
        <w:tc>
          <w:tcPr>
            <w:tcW w:w="1146" w:type="dxa"/>
            <w:vMerge w:val="restart"/>
            <w:noWrap w:val="0"/>
            <w:tcMar>
              <w:top w:w="0" w:type="dxa"/>
              <w:left w:w="0" w:type="dxa"/>
              <w:bottom w:w="0" w:type="dxa"/>
              <w:right w:w="0" w:type="dxa"/>
            </w:tcMar>
            <w:vAlign w:val="center"/>
          </w:tcPr>
          <w:p>
            <w:pPr>
              <w:autoSpaceDN w:val="0"/>
              <w:rPr>
                <w:rFonts w:hint="eastAsia" w:ascii="仿宋_GB2312" w:eastAsia="仿宋_GB2312"/>
                <w:sz w:val="24"/>
              </w:rPr>
            </w:pPr>
            <w:r>
              <w:rPr>
                <w:rFonts w:hint="eastAsia" w:ascii="仿宋_GB2312" w:eastAsia="仿宋_GB2312"/>
                <w:sz w:val="24"/>
              </w:rPr>
              <w:t>法治文化阵地覆盖率（%）</w:t>
            </w:r>
          </w:p>
        </w:tc>
        <w:tc>
          <w:tcPr>
            <w:tcW w:w="3314" w:type="dxa"/>
            <w:noWrap w:val="0"/>
            <w:tcMar>
              <w:top w:w="0" w:type="dxa"/>
              <w:left w:w="0" w:type="dxa"/>
              <w:bottom w:w="0" w:type="dxa"/>
              <w:right w:w="0" w:type="dxa"/>
            </w:tcMar>
            <w:vAlign w:val="center"/>
          </w:tcPr>
          <w:p>
            <w:pPr>
              <w:autoSpaceDN w:val="0"/>
              <w:rPr>
                <w:rFonts w:hint="eastAsia" w:ascii="仿宋_GB2312" w:eastAsia="仿宋_GB2312"/>
                <w:sz w:val="24"/>
              </w:rPr>
            </w:pPr>
            <w:r>
              <w:rPr>
                <w:rFonts w:hint="eastAsia" w:ascii="仿宋_GB2312" w:eastAsia="仿宋_GB2312"/>
                <w:sz w:val="24"/>
              </w:rPr>
              <w:t>市级青少年法治教育基地覆盖率（%）</w:t>
            </w:r>
          </w:p>
        </w:tc>
        <w:tc>
          <w:tcPr>
            <w:tcW w:w="1541"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62</w:t>
            </w:r>
          </w:p>
        </w:tc>
        <w:tc>
          <w:tcPr>
            <w:tcW w:w="1593"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100</w:t>
            </w:r>
          </w:p>
        </w:tc>
        <w:tc>
          <w:tcPr>
            <w:tcW w:w="1268"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148" w:type="dxa"/>
            <w:vMerge w:val="continue"/>
            <w:noWrap w:val="0"/>
            <w:tcMar>
              <w:top w:w="0" w:type="dxa"/>
              <w:left w:w="0" w:type="dxa"/>
              <w:bottom w:w="0" w:type="dxa"/>
              <w:right w:w="0" w:type="dxa"/>
            </w:tcMar>
            <w:vAlign w:val="center"/>
          </w:tcPr>
          <w:p>
            <w:pPr>
              <w:autoSpaceDN w:val="0"/>
              <w:rPr>
                <w:rFonts w:hint="eastAsia" w:ascii="仿宋_GB2312" w:eastAsia="仿宋_GB2312"/>
                <w:sz w:val="24"/>
              </w:rPr>
            </w:pPr>
          </w:p>
        </w:tc>
        <w:tc>
          <w:tcPr>
            <w:tcW w:w="1146" w:type="dxa"/>
            <w:vMerge w:val="continue"/>
            <w:noWrap w:val="0"/>
            <w:tcMar>
              <w:top w:w="0" w:type="dxa"/>
              <w:left w:w="0" w:type="dxa"/>
              <w:bottom w:w="0" w:type="dxa"/>
              <w:right w:w="0" w:type="dxa"/>
            </w:tcMar>
            <w:vAlign w:val="center"/>
          </w:tcPr>
          <w:p>
            <w:pPr>
              <w:autoSpaceDN w:val="0"/>
              <w:rPr>
                <w:rFonts w:hint="eastAsia" w:ascii="仿宋_GB2312" w:eastAsia="仿宋_GB2312"/>
                <w:sz w:val="24"/>
              </w:rPr>
            </w:pPr>
          </w:p>
        </w:tc>
        <w:tc>
          <w:tcPr>
            <w:tcW w:w="3314" w:type="dxa"/>
            <w:noWrap w:val="0"/>
            <w:tcMar>
              <w:top w:w="0" w:type="dxa"/>
              <w:left w:w="0" w:type="dxa"/>
              <w:bottom w:w="0" w:type="dxa"/>
              <w:right w:w="0" w:type="dxa"/>
            </w:tcMar>
            <w:vAlign w:val="center"/>
          </w:tcPr>
          <w:p>
            <w:pPr>
              <w:autoSpaceDN w:val="0"/>
              <w:rPr>
                <w:rFonts w:hint="eastAsia" w:ascii="仿宋_GB2312" w:eastAsia="仿宋_GB2312"/>
                <w:sz w:val="24"/>
              </w:rPr>
            </w:pPr>
            <w:r>
              <w:rPr>
                <w:rFonts w:hint="eastAsia" w:ascii="仿宋_GB2312" w:eastAsia="仿宋_GB2312"/>
                <w:sz w:val="24"/>
              </w:rPr>
              <w:t>县（市、区）级青少年法治教育基地覆盖率（%）</w:t>
            </w:r>
          </w:p>
        </w:tc>
        <w:tc>
          <w:tcPr>
            <w:tcW w:w="1541"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46</w:t>
            </w:r>
          </w:p>
        </w:tc>
        <w:tc>
          <w:tcPr>
            <w:tcW w:w="1593"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70</w:t>
            </w:r>
          </w:p>
        </w:tc>
        <w:tc>
          <w:tcPr>
            <w:tcW w:w="1268"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148" w:type="dxa"/>
            <w:vMerge w:val="continue"/>
            <w:noWrap w:val="0"/>
            <w:tcMar>
              <w:top w:w="0" w:type="dxa"/>
              <w:left w:w="0" w:type="dxa"/>
              <w:bottom w:w="0" w:type="dxa"/>
              <w:right w:w="0" w:type="dxa"/>
            </w:tcMar>
            <w:vAlign w:val="center"/>
          </w:tcPr>
          <w:p>
            <w:pPr>
              <w:autoSpaceDN w:val="0"/>
              <w:rPr>
                <w:rFonts w:hint="eastAsia" w:ascii="仿宋_GB2312" w:eastAsia="仿宋_GB2312"/>
                <w:sz w:val="24"/>
              </w:rPr>
            </w:pPr>
          </w:p>
        </w:tc>
        <w:tc>
          <w:tcPr>
            <w:tcW w:w="1146" w:type="dxa"/>
            <w:vMerge w:val="continue"/>
            <w:noWrap w:val="0"/>
            <w:tcMar>
              <w:top w:w="0" w:type="dxa"/>
              <w:left w:w="0" w:type="dxa"/>
              <w:bottom w:w="0" w:type="dxa"/>
              <w:right w:w="0" w:type="dxa"/>
            </w:tcMar>
            <w:vAlign w:val="center"/>
          </w:tcPr>
          <w:p>
            <w:pPr>
              <w:autoSpaceDN w:val="0"/>
              <w:rPr>
                <w:rFonts w:hint="eastAsia" w:ascii="仿宋_GB2312" w:eastAsia="仿宋_GB2312"/>
                <w:sz w:val="24"/>
              </w:rPr>
            </w:pPr>
          </w:p>
        </w:tc>
        <w:tc>
          <w:tcPr>
            <w:tcW w:w="3314" w:type="dxa"/>
            <w:noWrap w:val="0"/>
            <w:tcMar>
              <w:top w:w="0" w:type="dxa"/>
              <w:left w:w="0" w:type="dxa"/>
              <w:bottom w:w="0" w:type="dxa"/>
              <w:right w:w="0" w:type="dxa"/>
            </w:tcMar>
            <w:vAlign w:val="center"/>
          </w:tcPr>
          <w:p>
            <w:pPr>
              <w:autoSpaceDN w:val="0"/>
              <w:rPr>
                <w:rFonts w:hint="eastAsia" w:ascii="仿宋_GB2312" w:eastAsia="仿宋_GB2312"/>
                <w:sz w:val="24"/>
              </w:rPr>
            </w:pPr>
            <w:r>
              <w:rPr>
                <w:rFonts w:hint="eastAsia" w:ascii="仿宋_GB2312" w:eastAsia="仿宋_GB2312"/>
                <w:sz w:val="24"/>
              </w:rPr>
              <w:t>乡（镇、街道）宪法或民法典主题阵地覆盖率（%）</w:t>
            </w:r>
          </w:p>
        </w:tc>
        <w:tc>
          <w:tcPr>
            <w:tcW w:w="1541"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25</w:t>
            </w:r>
          </w:p>
        </w:tc>
        <w:tc>
          <w:tcPr>
            <w:tcW w:w="1593"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100</w:t>
            </w:r>
          </w:p>
        </w:tc>
        <w:tc>
          <w:tcPr>
            <w:tcW w:w="1268"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148" w:type="dxa"/>
            <w:vMerge w:val="continue"/>
            <w:noWrap w:val="0"/>
            <w:tcMar>
              <w:top w:w="0" w:type="dxa"/>
              <w:left w:w="0" w:type="dxa"/>
              <w:bottom w:w="0" w:type="dxa"/>
              <w:right w:w="0" w:type="dxa"/>
            </w:tcMar>
            <w:vAlign w:val="center"/>
          </w:tcPr>
          <w:p>
            <w:pPr>
              <w:autoSpaceDN w:val="0"/>
              <w:rPr>
                <w:rFonts w:hint="eastAsia" w:ascii="仿宋_GB2312" w:eastAsia="仿宋_GB2312"/>
                <w:sz w:val="24"/>
              </w:rPr>
            </w:pPr>
          </w:p>
        </w:tc>
        <w:tc>
          <w:tcPr>
            <w:tcW w:w="4460" w:type="dxa"/>
            <w:gridSpan w:val="2"/>
            <w:noWrap w:val="0"/>
            <w:tcMar>
              <w:top w:w="0" w:type="dxa"/>
              <w:left w:w="0" w:type="dxa"/>
              <w:bottom w:w="0" w:type="dxa"/>
              <w:right w:w="0" w:type="dxa"/>
            </w:tcMar>
            <w:vAlign w:val="center"/>
          </w:tcPr>
          <w:p>
            <w:pPr>
              <w:autoSpaceDN w:val="0"/>
              <w:rPr>
                <w:rFonts w:hint="eastAsia" w:ascii="仿宋_GB2312" w:eastAsia="仿宋_GB2312"/>
                <w:sz w:val="24"/>
              </w:rPr>
            </w:pPr>
            <w:r>
              <w:rPr>
                <w:rFonts w:hint="eastAsia" w:ascii="仿宋_GB2312" w:eastAsia="仿宋_GB2312"/>
                <w:sz w:val="24"/>
              </w:rPr>
              <w:t>村（社区）骨干“法律明白人”数量（人）</w:t>
            </w:r>
          </w:p>
        </w:tc>
        <w:tc>
          <w:tcPr>
            <w:tcW w:w="1541"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2</w:t>
            </w:r>
          </w:p>
        </w:tc>
        <w:tc>
          <w:tcPr>
            <w:tcW w:w="1593"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5</w:t>
            </w:r>
          </w:p>
        </w:tc>
        <w:tc>
          <w:tcPr>
            <w:tcW w:w="1268"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148" w:type="dxa"/>
            <w:vMerge w:val="continue"/>
            <w:noWrap w:val="0"/>
            <w:tcMar>
              <w:top w:w="0" w:type="dxa"/>
              <w:left w:w="0" w:type="dxa"/>
              <w:bottom w:w="0" w:type="dxa"/>
              <w:right w:w="0" w:type="dxa"/>
            </w:tcMar>
            <w:vAlign w:val="center"/>
          </w:tcPr>
          <w:p>
            <w:pPr>
              <w:autoSpaceDN w:val="0"/>
              <w:rPr>
                <w:rFonts w:hint="eastAsia" w:ascii="仿宋_GB2312" w:eastAsia="仿宋_GB2312"/>
                <w:sz w:val="24"/>
              </w:rPr>
            </w:pPr>
          </w:p>
        </w:tc>
        <w:tc>
          <w:tcPr>
            <w:tcW w:w="4460" w:type="dxa"/>
            <w:gridSpan w:val="2"/>
            <w:noWrap w:val="0"/>
            <w:tcMar>
              <w:top w:w="0" w:type="dxa"/>
              <w:left w:w="0" w:type="dxa"/>
              <w:bottom w:w="0" w:type="dxa"/>
              <w:right w:w="0" w:type="dxa"/>
            </w:tcMar>
            <w:vAlign w:val="center"/>
          </w:tcPr>
          <w:p>
            <w:pPr>
              <w:autoSpaceDN w:val="0"/>
              <w:rPr>
                <w:rFonts w:hint="eastAsia" w:ascii="仿宋_GB2312" w:eastAsia="仿宋_GB2312"/>
                <w:sz w:val="24"/>
              </w:rPr>
            </w:pPr>
            <w:r>
              <w:rPr>
                <w:rFonts w:hint="eastAsia" w:ascii="仿宋_GB2312" w:eastAsia="仿宋_GB2312"/>
                <w:sz w:val="24"/>
              </w:rPr>
              <w:t>村民小组（小区楼栋）普通“法律明白人”培养率（%）</w:t>
            </w:r>
          </w:p>
        </w:tc>
        <w:tc>
          <w:tcPr>
            <w:tcW w:w="1541"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30</w:t>
            </w:r>
          </w:p>
        </w:tc>
        <w:tc>
          <w:tcPr>
            <w:tcW w:w="1593"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100</w:t>
            </w:r>
          </w:p>
        </w:tc>
        <w:tc>
          <w:tcPr>
            <w:tcW w:w="1268"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148" w:type="dxa"/>
            <w:vMerge w:val="restart"/>
            <w:noWrap w:val="0"/>
            <w:tcMar>
              <w:top w:w="0" w:type="dxa"/>
              <w:left w:w="0" w:type="dxa"/>
              <w:bottom w:w="0" w:type="dxa"/>
              <w:right w:w="0" w:type="dxa"/>
            </w:tcMar>
            <w:vAlign w:val="center"/>
          </w:tcPr>
          <w:p>
            <w:pPr>
              <w:numPr>
                <w:ilvl w:val="0"/>
                <w:numId w:val="1"/>
              </w:numPr>
              <w:autoSpaceDN w:val="0"/>
              <w:spacing w:line="320" w:lineRule="exact"/>
              <w:rPr>
                <w:rFonts w:hint="eastAsia" w:ascii="仿宋_GB2312" w:eastAsia="仿宋_GB2312"/>
                <w:sz w:val="24"/>
              </w:rPr>
            </w:pPr>
            <w:r>
              <w:rPr>
                <w:rFonts w:hint="eastAsia" w:ascii="仿宋_GB2312" w:eastAsia="仿宋_GB2312"/>
                <w:sz w:val="24"/>
              </w:rPr>
              <w:t>法律援助服务</w:t>
            </w:r>
          </w:p>
          <w:p>
            <w:pPr>
              <w:autoSpaceDN w:val="0"/>
              <w:spacing w:line="320" w:lineRule="exact"/>
              <w:rPr>
                <w:rFonts w:hint="eastAsia" w:ascii="仿宋_GB2312" w:eastAsia="仿宋_GB2312"/>
                <w:sz w:val="24"/>
              </w:rPr>
            </w:pPr>
          </w:p>
        </w:tc>
        <w:tc>
          <w:tcPr>
            <w:tcW w:w="4460" w:type="dxa"/>
            <w:gridSpan w:val="2"/>
            <w:noWrap w:val="0"/>
            <w:tcMar>
              <w:top w:w="0" w:type="dxa"/>
              <w:left w:w="0" w:type="dxa"/>
              <w:bottom w:w="0" w:type="dxa"/>
              <w:right w:w="0" w:type="dxa"/>
            </w:tcMar>
            <w:vAlign w:val="center"/>
          </w:tcPr>
          <w:p>
            <w:pPr>
              <w:autoSpaceDN w:val="0"/>
              <w:rPr>
                <w:rFonts w:hint="eastAsia" w:ascii="仿宋_GB2312" w:eastAsia="仿宋_GB2312"/>
                <w:sz w:val="24"/>
              </w:rPr>
            </w:pPr>
            <w:r>
              <w:rPr>
                <w:rFonts w:hint="eastAsia" w:ascii="仿宋_GB2312" w:eastAsia="仿宋_GB2312"/>
                <w:sz w:val="24"/>
              </w:rPr>
              <w:t>每万人提供法律援助件数（件）</w:t>
            </w:r>
          </w:p>
        </w:tc>
        <w:tc>
          <w:tcPr>
            <w:tcW w:w="1541"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6.7</w:t>
            </w:r>
          </w:p>
        </w:tc>
        <w:tc>
          <w:tcPr>
            <w:tcW w:w="1593"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8</w:t>
            </w:r>
          </w:p>
        </w:tc>
        <w:tc>
          <w:tcPr>
            <w:tcW w:w="1268"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148" w:type="dxa"/>
            <w:vMerge w:val="continue"/>
            <w:noWrap w:val="0"/>
            <w:tcMar>
              <w:top w:w="0" w:type="dxa"/>
              <w:left w:w="0" w:type="dxa"/>
              <w:bottom w:w="0" w:type="dxa"/>
              <w:right w:w="0" w:type="dxa"/>
            </w:tcMar>
            <w:vAlign w:val="center"/>
          </w:tcPr>
          <w:p>
            <w:pPr>
              <w:autoSpaceDN w:val="0"/>
              <w:rPr>
                <w:rFonts w:hint="eastAsia" w:ascii="仿宋_GB2312" w:eastAsia="仿宋_GB2312"/>
                <w:sz w:val="24"/>
              </w:rPr>
            </w:pPr>
          </w:p>
        </w:tc>
        <w:tc>
          <w:tcPr>
            <w:tcW w:w="4460" w:type="dxa"/>
            <w:gridSpan w:val="2"/>
            <w:noWrap w:val="0"/>
            <w:tcMar>
              <w:top w:w="0" w:type="dxa"/>
              <w:left w:w="0" w:type="dxa"/>
              <w:bottom w:w="0" w:type="dxa"/>
              <w:right w:w="0" w:type="dxa"/>
            </w:tcMar>
            <w:vAlign w:val="center"/>
          </w:tcPr>
          <w:p>
            <w:pPr>
              <w:autoSpaceDN w:val="0"/>
              <w:rPr>
                <w:rFonts w:hint="eastAsia" w:ascii="仿宋_GB2312" w:eastAsia="仿宋_GB2312"/>
                <w:sz w:val="24"/>
              </w:rPr>
            </w:pPr>
            <w:r>
              <w:rPr>
                <w:rFonts w:hint="eastAsia" w:ascii="仿宋_GB2312" w:eastAsia="仿宋_GB2312"/>
                <w:sz w:val="24"/>
              </w:rPr>
              <w:t>人均法律援助经费（元）</w:t>
            </w:r>
          </w:p>
        </w:tc>
        <w:tc>
          <w:tcPr>
            <w:tcW w:w="1541"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1.6</w:t>
            </w:r>
          </w:p>
        </w:tc>
        <w:tc>
          <w:tcPr>
            <w:tcW w:w="1593"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2.1</w:t>
            </w:r>
          </w:p>
        </w:tc>
        <w:tc>
          <w:tcPr>
            <w:tcW w:w="1268"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148" w:type="dxa"/>
            <w:noWrap w:val="0"/>
            <w:tcMar>
              <w:top w:w="0" w:type="dxa"/>
              <w:left w:w="0" w:type="dxa"/>
              <w:bottom w:w="0" w:type="dxa"/>
              <w:right w:w="0" w:type="dxa"/>
            </w:tcMar>
            <w:vAlign w:val="center"/>
          </w:tcPr>
          <w:p>
            <w:pPr>
              <w:numPr>
                <w:ilvl w:val="0"/>
                <w:numId w:val="1"/>
              </w:numPr>
              <w:autoSpaceDN w:val="0"/>
              <w:rPr>
                <w:rFonts w:hint="eastAsia" w:ascii="仿宋_GB2312" w:eastAsia="仿宋_GB2312"/>
                <w:sz w:val="24"/>
              </w:rPr>
            </w:pPr>
            <w:r>
              <w:rPr>
                <w:rFonts w:hint="eastAsia" w:ascii="仿宋_GB2312" w:eastAsia="仿宋_GB2312"/>
                <w:sz w:val="24"/>
              </w:rPr>
              <w:t>人民调解服务</w:t>
            </w:r>
          </w:p>
          <w:p>
            <w:pPr>
              <w:autoSpaceDN w:val="0"/>
              <w:rPr>
                <w:rFonts w:hint="eastAsia" w:ascii="仿宋_GB2312" w:eastAsia="仿宋_GB2312"/>
                <w:sz w:val="24"/>
              </w:rPr>
            </w:pPr>
          </w:p>
        </w:tc>
        <w:tc>
          <w:tcPr>
            <w:tcW w:w="4460" w:type="dxa"/>
            <w:gridSpan w:val="2"/>
            <w:noWrap w:val="0"/>
            <w:tcMar>
              <w:top w:w="0" w:type="dxa"/>
              <w:left w:w="0" w:type="dxa"/>
              <w:bottom w:w="0" w:type="dxa"/>
              <w:right w:w="0" w:type="dxa"/>
            </w:tcMar>
            <w:vAlign w:val="center"/>
          </w:tcPr>
          <w:p>
            <w:pPr>
              <w:autoSpaceDN w:val="0"/>
              <w:rPr>
                <w:rFonts w:hint="eastAsia" w:ascii="仿宋_GB2312" w:eastAsia="仿宋_GB2312"/>
                <w:sz w:val="24"/>
              </w:rPr>
            </w:pPr>
            <w:r>
              <w:rPr>
                <w:rFonts w:hint="eastAsia" w:ascii="仿宋_GB2312" w:eastAsia="仿宋_GB2312"/>
                <w:sz w:val="24"/>
              </w:rPr>
              <w:t>全市专职人民调解员数（名）</w:t>
            </w:r>
          </w:p>
        </w:tc>
        <w:tc>
          <w:tcPr>
            <w:tcW w:w="1541"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140</w:t>
            </w:r>
          </w:p>
        </w:tc>
        <w:tc>
          <w:tcPr>
            <w:tcW w:w="1593"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1600</w:t>
            </w:r>
          </w:p>
        </w:tc>
        <w:tc>
          <w:tcPr>
            <w:tcW w:w="1268"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148" w:type="dxa"/>
            <w:noWrap w:val="0"/>
            <w:tcMar>
              <w:top w:w="0" w:type="dxa"/>
              <w:left w:w="0" w:type="dxa"/>
              <w:bottom w:w="0" w:type="dxa"/>
              <w:right w:w="0" w:type="dxa"/>
            </w:tcMar>
            <w:vAlign w:val="center"/>
          </w:tcPr>
          <w:p>
            <w:pPr>
              <w:numPr>
                <w:ilvl w:val="0"/>
                <w:numId w:val="1"/>
              </w:numPr>
              <w:autoSpaceDN w:val="0"/>
              <w:rPr>
                <w:rFonts w:hint="eastAsia" w:ascii="仿宋_GB2312" w:eastAsia="仿宋_GB2312"/>
                <w:sz w:val="24"/>
              </w:rPr>
            </w:pPr>
            <w:r>
              <w:rPr>
                <w:rFonts w:hint="eastAsia" w:ascii="仿宋_GB2312" w:eastAsia="仿宋_GB2312"/>
                <w:sz w:val="24"/>
              </w:rPr>
              <w:t>律师法律服务</w:t>
            </w:r>
          </w:p>
          <w:p>
            <w:pPr>
              <w:autoSpaceDN w:val="0"/>
              <w:rPr>
                <w:rFonts w:hint="eastAsia" w:ascii="仿宋_GB2312" w:eastAsia="仿宋_GB2312"/>
                <w:sz w:val="24"/>
              </w:rPr>
            </w:pPr>
          </w:p>
        </w:tc>
        <w:tc>
          <w:tcPr>
            <w:tcW w:w="4460" w:type="dxa"/>
            <w:gridSpan w:val="2"/>
            <w:noWrap w:val="0"/>
            <w:tcMar>
              <w:top w:w="0" w:type="dxa"/>
              <w:left w:w="0" w:type="dxa"/>
              <w:bottom w:w="0" w:type="dxa"/>
              <w:right w:w="0" w:type="dxa"/>
            </w:tcMar>
            <w:vAlign w:val="center"/>
          </w:tcPr>
          <w:p>
            <w:pPr>
              <w:autoSpaceDN w:val="0"/>
              <w:rPr>
                <w:rFonts w:hint="eastAsia" w:ascii="仿宋_GB2312" w:eastAsia="仿宋_GB2312"/>
                <w:sz w:val="24"/>
              </w:rPr>
            </w:pPr>
            <w:r>
              <w:rPr>
                <w:rFonts w:hint="eastAsia" w:ascii="仿宋_GB2312" w:eastAsia="仿宋_GB2312"/>
                <w:sz w:val="24"/>
              </w:rPr>
              <w:t>每万人拥有律师数（名）</w:t>
            </w:r>
          </w:p>
        </w:tc>
        <w:tc>
          <w:tcPr>
            <w:tcW w:w="1541"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1.82</w:t>
            </w:r>
          </w:p>
        </w:tc>
        <w:tc>
          <w:tcPr>
            <w:tcW w:w="1593"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4</w:t>
            </w:r>
          </w:p>
        </w:tc>
        <w:tc>
          <w:tcPr>
            <w:tcW w:w="1268"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148" w:type="dxa"/>
            <w:noWrap w:val="0"/>
            <w:tcMar>
              <w:top w:w="0" w:type="dxa"/>
              <w:left w:w="0" w:type="dxa"/>
              <w:bottom w:w="0" w:type="dxa"/>
              <w:right w:w="0" w:type="dxa"/>
            </w:tcMar>
            <w:vAlign w:val="center"/>
          </w:tcPr>
          <w:p>
            <w:pPr>
              <w:numPr>
                <w:ilvl w:val="0"/>
                <w:numId w:val="1"/>
              </w:numPr>
              <w:autoSpaceDN w:val="0"/>
              <w:rPr>
                <w:rFonts w:hint="eastAsia" w:ascii="仿宋_GB2312" w:eastAsia="仿宋_GB2312"/>
                <w:sz w:val="24"/>
              </w:rPr>
            </w:pPr>
            <w:r>
              <w:rPr>
                <w:rFonts w:hint="eastAsia" w:ascii="仿宋_GB2312" w:eastAsia="仿宋_GB2312"/>
                <w:sz w:val="24"/>
              </w:rPr>
              <w:t>公证服务</w:t>
            </w:r>
          </w:p>
          <w:p>
            <w:pPr>
              <w:autoSpaceDN w:val="0"/>
              <w:rPr>
                <w:rFonts w:hint="eastAsia" w:ascii="仿宋_GB2312" w:eastAsia="仿宋_GB2312"/>
                <w:sz w:val="24"/>
              </w:rPr>
            </w:pPr>
          </w:p>
        </w:tc>
        <w:tc>
          <w:tcPr>
            <w:tcW w:w="4460" w:type="dxa"/>
            <w:gridSpan w:val="2"/>
            <w:noWrap w:val="0"/>
            <w:tcMar>
              <w:top w:w="0" w:type="dxa"/>
              <w:left w:w="0" w:type="dxa"/>
              <w:bottom w:w="0" w:type="dxa"/>
              <w:right w:w="0" w:type="dxa"/>
            </w:tcMar>
            <w:vAlign w:val="center"/>
          </w:tcPr>
          <w:p>
            <w:pPr>
              <w:autoSpaceDN w:val="0"/>
              <w:rPr>
                <w:rFonts w:hint="eastAsia" w:ascii="仿宋_GB2312" w:eastAsia="仿宋_GB2312"/>
                <w:sz w:val="24"/>
              </w:rPr>
            </w:pPr>
            <w:r>
              <w:rPr>
                <w:rFonts w:hint="eastAsia" w:ascii="仿宋_GB2312" w:eastAsia="仿宋_GB2312"/>
                <w:sz w:val="24"/>
              </w:rPr>
              <w:t>标准化公证机构覆盖率（%）</w:t>
            </w:r>
          </w:p>
        </w:tc>
        <w:tc>
          <w:tcPr>
            <w:tcW w:w="1541"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0</w:t>
            </w:r>
          </w:p>
        </w:tc>
        <w:tc>
          <w:tcPr>
            <w:tcW w:w="1593"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90</w:t>
            </w:r>
          </w:p>
        </w:tc>
        <w:tc>
          <w:tcPr>
            <w:tcW w:w="1268"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148" w:type="dxa"/>
            <w:vMerge w:val="restart"/>
            <w:noWrap w:val="0"/>
            <w:tcMar>
              <w:top w:w="0" w:type="dxa"/>
              <w:left w:w="0" w:type="dxa"/>
              <w:bottom w:w="0" w:type="dxa"/>
              <w:right w:w="0" w:type="dxa"/>
            </w:tcMar>
            <w:vAlign w:val="center"/>
          </w:tcPr>
          <w:p>
            <w:pPr>
              <w:numPr>
                <w:ilvl w:val="0"/>
                <w:numId w:val="1"/>
              </w:numPr>
              <w:autoSpaceDN w:val="0"/>
              <w:rPr>
                <w:rFonts w:hint="eastAsia" w:ascii="仿宋_GB2312" w:eastAsia="仿宋_GB2312"/>
                <w:sz w:val="24"/>
              </w:rPr>
            </w:pPr>
            <w:r>
              <w:rPr>
                <w:rFonts w:hint="eastAsia" w:ascii="仿宋_GB2312" w:eastAsia="仿宋_GB2312"/>
                <w:sz w:val="24"/>
              </w:rPr>
              <w:t>仲裁服务</w:t>
            </w:r>
          </w:p>
          <w:p>
            <w:pPr>
              <w:autoSpaceDN w:val="0"/>
              <w:rPr>
                <w:rFonts w:hint="eastAsia" w:ascii="仿宋_GB2312" w:eastAsia="仿宋_GB2312"/>
                <w:sz w:val="24"/>
              </w:rPr>
            </w:pPr>
          </w:p>
        </w:tc>
        <w:tc>
          <w:tcPr>
            <w:tcW w:w="4460" w:type="dxa"/>
            <w:gridSpan w:val="2"/>
            <w:noWrap w:val="0"/>
            <w:tcMar>
              <w:top w:w="0" w:type="dxa"/>
              <w:left w:w="0" w:type="dxa"/>
              <w:bottom w:w="0" w:type="dxa"/>
              <w:right w:w="0" w:type="dxa"/>
            </w:tcMar>
            <w:vAlign w:val="center"/>
          </w:tcPr>
          <w:p>
            <w:pPr>
              <w:autoSpaceDN w:val="0"/>
              <w:rPr>
                <w:rFonts w:hint="eastAsia" w:ascii="仿宋_GB2312" w:eastAsia="仿宋_GB2312"/>
                <w:sz w:val="24"/>
              </w:rPr>
            </w:pPr>
            <w:r>
              <w:rPr>
                <w:rFonts w:hint="eastAsia" w:ascii="仿宋_GB2312" w:eastAsia="仿宋_GB2312"/>
                <w:sz w:val="24"/>
              </w:rPr>
              <w:t>仲裁机构标准化建设率（%）</w:t>
            </w:r>
          </w:p>
        </w:tc>
        <w:tc>
          <w:tcPr>
            <w:tcW w:w="1541"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0</w:t>
            </w:r>
          </w:p>
        </w:tc>
        <w:tc>
          <w:tcPr>
            <w:tcW w:w="1593"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100</w:t>
            </w:r>
          </w:p>
        </w:tc>
        <w:tc>
          <w:tcPr>
            <w:tcW w:w="1268"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148" w:type="dxa"/>
            <w:vMerge w:val="continue"/>
            <w:noWrap w:val="0"/>
            <w:tcMar>
              <w:top w:w="0" w:type="dxa"/>
              <w:left w:w="0" w:type="dxa"/>
              <w:bottom w:w="0" w:type="dxa"/>
              <w:right w:w="0" w:type="dxa"/>
            </w:tcMar>
            <w:vAlign w:val="center"/>
          </w:tcPr>
          <w:p>
            <w:pPr>
              <w:autoSpaceDN w:val="0"/>
              <w:rPr>
                <w:rFonts w:hint="eastAsia" w:ascii="仿宋_GB2312" w:eastAsia="仿宋_GB2312"/>
                <w:sz w:val="24"/>
              </w:rPr>
            </w:pPr>
          </w:p>
        </w:tc>
        <w:tc>
          <w:tcPr>
            <w:tcW w:w="4460" w:type="dxa"/>
            <w:gridSpan w:val="2"/>
            <w:noWrap w:val="0"/>
            <w:tcMar>
              <w:top w:w="0" w:type="dxa"/>
              <w:left w:w="0" w:type="dxa"/>
              <w:bottom w:w="0" w:type="dxa"/>
              <w:right w:w="0" w:type="dxa"/>
            </w:tcMar>
            <w:vAlign w:val="center"/>
          </w:tcPr>
          <w:p>
            <w:pPr>
              <w:autoSpaceDN w:val="0"/>
              <w:rPr>
                <w:rFonts w:hint="eastAsia" w:ascii="仿宋_GB2312" w:eastAsia="仿宋_GB2312"/>
                <w:sz w:val="24"/>
              </w:rPr>
            </w:pPr>
            <w:r>
              <w:rPr>
                <w:rFonts w:hint="eastAsia" w:ascii="仿宋_GB2312" w:eastAsia="仿宋_GB2312"/>
                <w:sz w:val="24"/>
              </w:rPr>
              <w:t>网上立案率（%）</w:t>
            </w:r>
          </w:p>
        </w:tc>
        <w:tc>
          <w:tcPr>
            <w:tcW w:w="1541"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0</w:t>
            </w:r>
          </w:p>
        </w:tc>
        <w:tc>
          <w:tcPr>
            <w:tcW w:w="1593"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50</w:t>
            </w:r>
          </w:p>
        </w:tc>
        <w:tc>
          <w:tcPr>
            <w:tcW w:w="1268"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148" w:type="dxa"/>
            <w:noWrap w:val="0"/>
            <w:tcMar>
              <w:top w:w="0" w:type="dxa"/>
              <w:left w:w="0" w:type="dxa"/>
              <w:bottom w:w="0" w:type="dxa"/>
              <w:right w:w="0" w:type="dxa"/>
            </w:tcMar>
            <w:vAlign w:val="center"/>
          </w:tcPr>
          <w:p>
            <w:pPr>
              <w:numPr>
                <w:ilvl w:val="0"/>
                <w:numId w:val="1"/>
              </w:numPr>
              <w:autoSpaceDN w:val="0"/>
              <w:rPr>
                <w:rFonts w:hint="eastAsia" w:ascii="仿宋_GB2312" w:eastAsia="仿宋_GB2312"/>
                <w:sz w:val="24"/>
              </w:rPr>
            </w:pPr>
            <w:r>
              <w:rPr>
                <w:rFonts w:hint="eastAsia" w:ascii="仿宋_GB2312" w:eastAsia="仿宋_GB2312"/>
                <w:sz w:val="24"/>
              </w:rPr>
              <w:t>司法鉴定服务</w:t>
            </w:r>
          </w:p>
          <w:p>
            <w:pPr>
              <w:autoSpaceDN w:val="0"/>
              <w:rPr>
                <w:rFonts w:hint="eastAsia" w:ascii="仿宋_GB2312" w:eastAsia="仿宋_GB2312"/>
                <w:sz w:val="24"/>
              </w:rPr>
            </w:pPr>
          </w:p>
        </w:tc>
        <w:tc>
          <w:tcPr>
            <w:tcW w:w="4460" w:type="dxa"/>
            <w:gridSpan w:val="2"/>
            <w:noWrap w:val="0"/>
            <w:tcMar>
              <w:top w:w="0" w:type="dxa"/>
              <w:left w:w="0" w:type="dxa"/>
              <w:bottom w:w="0" w:type="dxa"/>
              <w:right w:w="0" w:type="dxa"/>
            </w:tcMar>
            <w:vAlign w:val="center"/>
          </w:tcPr>
          <w:p>
            <w:pPr>
              <w:autoSpaceDN w:val="0"/>
              <w:rPr>
                <w:rFonts w:hint="eastAsia" w:ascii="仿宋_GB2312" w:eastAsia="仿宋_GB2312"/>
                <w:sz w:val="24"/>
              </w:rPr>
            </w:pPr>
            <w:r>
              <w:rPr>
                <w:rFonts w:hint="eastAsia" w:ascii="仿宋_GB2312" w:eastAsia="仿宋_GB2312"/>
                <w:sz w:val="24"/>
              </w:rPr>
              <w:t>专业化、品牌化、规模化司法鉴定机构数（家）</w:t>
            </w:r>
          </w:p>
        </w:tc>
        <w:tc>
          <w:tcPr>
            <w:tcW w:w="1541"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0</w:t>
            </w:r>
          </w:p>
        </w:tc>
        <w:tc>
          <w:tcPr>
            <w:tcW w:w="1593"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1</w:t>
            </w:r>
          </w:p>
        </w:tc>
        <w:tc>
          <w:tcPr>
            <w:tcW w:w="1268"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1148" w:type="dxa"/>
            <w:vMerge w:val="restart"/>
            <w:noWrap w:val="0"/>
            <w:tcMar>
              <w:top w:w="0" w:type="dxa"/>
              <w:left w:w="0" w:type="dxa"/>
              <w:bottom w:w="0" w:type="dxa"/>
              <w:right w:w="0" w:type="dxa"/>
            </w:tcMar>
            <w:vAlign w:val="center"/>
          </w:tcPr>
          <w:p>
            <w:pPr>
              <w:numPr>
                <w:ilvl w:val="0"/>
                <w:numId w:val="1"/>
              </w:numPr>
              <w:autoSpaceDN w:val="0"/>
              <w:rPr>
                <w:rFonts w:hint="eastAsia" w:ascii="仿宋_GB2312" w:eastAsia="仿宋_GB2312"/>
                <w:sz w:val="24"/>
              </w:rPr>
            </w:pPr>
            <w:r>
              <w:rPr>
                <w:rFonts w:hint="eastAsia" w:ascii="仿宋_GB2312" w:eastAsia="仿宋_GB2312"/>
                <w:sz w:val="24"/>
              </w:rPr>
              <w:t>公共法律服务平台建设</w:t>
            </w:r>
          </w:p>
          <w:p>
            <w:pPr>
              <w:autoSpaceDN w:val="0"/>
              <w:rPr>
                <w:rFonts w:hint="eastAsia" w:ascii="仿宋_GB2312" w:eastAsia="仿宋_GB2312"/>
                <w:sz w:val="24"/>
              </w:rPr>
            </w:pPr>
          </w:p>
          <w:p>
            <w:pPr>
              <w:autoSpaceDN w:val="0"/>
              <w:rPr>
                <w:rFonts w:hint="eastAsia" w:ascii="仿宋_GB2312" w:eastAsia="仿宋_GB2312"/>
                <w:sz w:val="24"/>
              </w:rPr>
            </w:pPr>
          </w:p>
        </w:tc>
        <w:tc>
          <w:tcPr>
            <w:tcW w:w="4460" w:type="dxa"/>
            <w:gridSpan w:val="2"/>
            <w:noWrap w:val="0"/>
            <w:tcMar>
              <w:top w:w="0" w:type="dxa"/>
              <w:left w:w="0" w:type="dxa"/>
              <w:bottom w:w="0" w:type="dxa"/>
              <w:right w:w="0" w:type="dxa"/>
            </w:tcMar>
            <w:vAlign w:val="center"/>
          </w:tcPr>
          <w:p>
            <w:pPr>
              <w:autoSpaceDN w:val="0"/>
              <w:rPr>
                <w:rFonts w:hint="eastAsia" w:ascii="仿宋_GB2312" w:eastAsia="仿宋_GB2312"/>
                <w:sz w:val="24"/>
              </w:rPr>
            </w:pPr>
            <w:r>
              <w:rPr>
                <w:rFonts w:hint="eastAsia" w:ascii="仿宋_GB2312" w:eastAsia="仿宋_GB2312"/>
                <w:sz w:val="24"/>
              </w:rPr>
              <w:t>示范性公共法律服务中心建成率（%）</w:t>
            </w:r>
          </w:p>
        </w:tc>
        <w:tc>
          <w:tcPr>
            <w:tcW w:w="1541"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8.3</w:t>
            </w:r>
          </w:p>
        </w:tc>
        <w:tc>
          <w:tcPr>
            <w:tcW w:w="1593"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33.3</w:t>
            </w:r>
          </w:p>
        </w:tc>
        <w:tc>
          <w:tcPr>
            <w:tcW w:w="1268"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exact"/>
        </w:trPr>
        <w:tc>
          <w:tcPr>
            <w:tcW w:w="1148" w:type="dxa"/>
            <w:vMerge w:val="continue"/>
            <w:noWrap w:val="0"/>
            <w:tcMar>
              <w:top w:w="0" w:type="dxa"/>
              <w:left w:w="0" w:type="dxa"/>
              <w:bottom w:w="0" w:type="dxa"/>
              <w:right w:w="0" w:type="dxa"/>
            </w:tcMar>
            <w:vAlign w:val="center"/>
          </w:tcPr>
          <w:p>
            <w:pPr>
              <w:autoSpaceDN w:val="0"/>
              <w:rPr>
                <w:rFonts w:hint="eastAsia" w:ascii="仿宋_GB2312" w:eastAsia="仿宋_GB2312"/>
                <w:sz w:val="24"/>
              </w:rPr>
            </w:pPr>
          </w:p>
        </w:tc>
        <w:tc>
          <w:tcPr>
            <w:tcW w:w="4460" w:type="dxa"/>
            <w:gridSpan w:val="2"/>
            <w:noWrap w:val="0"/>
            <w:tcMar>
              <w:top w:w="0" w:type="dxa"/>
              <w:left w:w="0" w:type="dxa"/>
              <w:bottom w:w="0" w:type="dxa"/>
              <w:right w:w="0" w:type="dxa"/>
            </w:tcMar>
            <w:vAlign w:val="center"/>
          </w:tcPr>
          <w:p>
            <w:pPr>
              <w:autoSpaceDN w:val="0"/>
              <w:rPr>
                <w:rFonts w:hint="eastAsia" w:ascii="仿宋_GB2312" w:eastAsia="仿宋_GB2312"/>
                <w:sz w:val="24"/>
              </w:rPr>
            </w:pPr>
            <w:r>
              <w:rPr>
                <w:rFonts w:hint="eastAsia" w:ascii="仿宋_GB2312" w:eastAsia="仿宋_GB2312"/>
                <w:sz w:val="24"/>
              </w:rPr>
              <w:t>热线平台接通率（%）</w:t>
            </w:r>
          </w:p>
        </w:tc>
        <w:tc>
          <w:tcPr>
            <w:tcW w:w="1541"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72</w:t>
            </w:r>
          </w:p>
        </w:tc>
        <w:tc>
          <w:tcPr>
            <w:tcW w:w="1593"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90</w:t>
            </w:r>
          </w:p>
        </w:tc>
        <w:tc>
          <w:tcPr>
            <w:tcW w:w="1268" w:type="dxa"/>
            <w:noWrap w:val="0"/>
            <w:tcMar>
              <w:top w:w="0" w:type="dxa"/>
              <w:left w:w="0" w:type="dxa"/>
              <w:bottom w:w="0" w:type="dxa"/>
              <w:right w:w="0" w:type="dxa"/>
            </w:tcMar>
            <w:vAlign w:val="center"/>
          </w:tcPr>
          <w:p>
            <w:pPr>
              <w:autoSpaceDN w:val="0"/>
              <w:jc w:val="center"/>
              <w:rPr>
                <w:rFonts w:hint="eastAsia" w:ascii="仿宋_GB2312" w:eastAsia="仿宋_GB2312"/>
                <w:sz w:val="24"/>
              </w:rPr>
            </w:pPr>
            <w:r>
              <w:rPr>
                <w:rFonts w:hint="eastAsia" w:ascii="仿宋_GB2312" w:eastAsia="仿宋_GB2312"/>
                <w:sz w:val="24"/>
              </w:rPr>
              <w:t>约束性</w:t>
            </w:r>
          </w:p>
        </w:tc>
      </w:tr>
    </w:tbl>
    <w:p>
      <w:pPr>
        <w:pStyle w:val="10"/>
        <w:autoSpaceDN w:val="0"/>
        <w:rPr>
          <w:rFonts w:hint="eastAsia"/>
        </w:rPr>
      </w:pPr>
      <w:bookmarkStart w:id="27" w:name="_Toc73538236"/>
      <w:bookmarkStart w:id="28" w:name="_Toc102032465"/>
      <w:r>
        <w:rPr>
          <w:rFonts w:hint="eastAsia"/>
        </w:rPr>
        <w:t>第三章  完善公共法律服务基础设施建设</w:t>
      </w:r>
      <w:bookmarkEnd w:id="27"/>
      <w:bookmarkEnd w:id="28"/>
    </w:p>
    <w:p>
      <w:pPr>
        <w:autoSpaceDN w:val="0"/>
        <w:adjustRightInd w:val="0"/>
        <w:snapToGrid w:val="0"/>
        <w:spacing w:line="580" w:lineRule="exact"/>
        <w:ind w:firstLine="640" w:firstLineChars="200"/>
        <w:rPr>
          <w:rFonts w:hint="eastAsia" w:ascii="仿宋_GB2312" w:eastAsia="仿宋_GB2312"/>
          <w:sz w:val="32"/>
          <w:szCs w:val="32"/>
        </w:rPr>
      </w:pPr>
      <w:bookmarkStart w:id="29" w:name="_Toc313465941_WPSOffice_Level2"/>
      <w:bookmarkStart w:id="30" w:name="_Toc73538237"/>
      <w:bookmarkStart w:id="31" w:name="_Toc1766409096"/>
    </w:p>
    <w:p>
      <w:pPr>
        <w:pStyle w:val="11"/>
        <w:autoSpaceDN w:val="0"/>
        <w:rPr>
          <w:rFonts w:hint="eastAsia"/>
        </w:rPr>
      </w:pPr>
      <w:bookmarkStart w:id="32" w:name="_Toc102032466"/>
      <w:r>
        <w:rPr>
          <w:rFonts w:hint="eastAsia"/>
        </w:rPr>
        <w:t xml:space="preserve">第一节  </w:t>
      </w:r>
      <w:bookmarkEnd w:id="29"/>
      <w:bookmarkEnd w:id="30"/>
      <w:bookmarkEnd w:id="31"/>
      <w:r>
        <w:rPr>
          <w:rFonts w:hint="eastAsia"/>
        </w:rPr>
        <w:t>加强公共法律服务实体平台建设</w:t>
      </w:r>
      <w:bookmarkEnd w:id="32"/>
    </w:p>
    <w:p>
      <w:pPr>
        <w:autoSpaceDN w:val="0"/>
        <w:adjustRightInd w:val="0"/>
        <w:snapToGrid w:val="0"/>
        <w:spacing w:line="580" w:lineRule="exact"/>
        <w:ind w:firstLine="640" w:firstLineChars="200"/>
        <w:rPr>
          <w:rFonts w:hint="eastAsia" w:ascii="仿宋_GB2312" w:eastAsia="仿宋_GB2312"/>
          <w:sz w:val="32"/>
          <w:szCs w:val="32"/>
        </w:rPr>
      </w:pPr>
      <w:bookmarkStart w:id="33" w:name="_Toc73538238"/>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推进市、县、乡、村四级公共法律服务平台建设，构建以市公共法律服务中心为枢纽、县（市、区）公共法律服务中心为支撑、乡（镇、街道）公共法律服务工作站为基础、村（社区）公共法律服务工作室为基点的公共法律服务网络。</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发挥市公共法律服务中心枢纽作用。打造在全省具有示范引领效应的市级公共法律服务中心和辐射周边的区域公共法律服务示范区。积极推进公共法律服务体系建设试点工作，配合司法厅开展《四川省公共法律服务工作促进条例》立法调研。全面整合法律援助、调解、公证、仲裁、司法鉴定、行政许可、行政复议等全业务法律服务资源，进一步优化构建市政务服务中心分中心和行政争议多元化解中心、商事调解中心、矛盾纠纷多元化解协调中心、法律援助中心、公共法律服务研究中心“1+6”功能模式，形成纠纷受理、法律服务、司法确认的矛盾化解综合性、专业性、全链条和“一站式”服务流程。</w:t>
      </w:r>
    </w:p>
    <w:p>
      <w:pPr>
        <w:autoSpaceDN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推动县（市、区）公共法律服务中心提档升级。建设一批示范性县（市、区）公共法律服务中心，突出综合性、专业性法律服务功能，全面提升服务能力。发挥县（市、区）公共法律服务中心综合服务、统筹调配资源、对乡（镇、街道）和村（社区）平台运行进行指导监管等职能，将其打造成县域公共法律服务综合枢纽和指挥协调平台。</w:t>
      </w:r>
    </w:p>
    <w:p>
      <w:pPr>
        <w:autoSpaceDN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深化乡（镇、街道）、村（社区）公共法律服务工作站（室）功能发挥。以司法所为依托，推动乡（镇、街道）公共法律服务工作站与司法所一体规划、一体建设、资源共享。深入推进“枫桥式司法所”建设，试点探索司法所负责乡（镇、街道）依法行政、执法规范和执法监督机制，持续完善公共法律服务工作站功能，将其打造成服务群众的主阵地和基层法律服务的主平台。推进乡镇行政区划和村级建制调整改革后的公共法律服务站（室）调整、巩固、提高，强化村（社区）公共法律服务工作室服务指引功能。</w:t>
      </w:r>
    </w:p>
    <w:bookmarkEnd w:id="33"/>
    <w:p>
      <w:pPr>
        <w:autoSpaceDN w:val="0"/>
        <w:adjustRightInd w:val="0"/>
        <w:snapToGrid w:val="0"/>
        <w:spacing w:line="560" w:lineRule="exact"/>
        <w:ind w:firstLine="640" w:firstLineChars="200"/>
        <w:rPr>
          <w:rFonts w:hint="eastAsia" w:ascii="仿宋_GB2312" w:eastAsia="仿宋_GB2312"/>
          <w:sz w:val="32"/>
          <w:szCs w:val="32"/>
        </w:rPr>
      </w:pPr>
    </w:p>
    <w:p>
      <w:pPr>
        <w:pStyle w:val="11"/>
        <w:autoSpaceDN w:val="0"/>
        <w:spacing w:line="560" w:lineRule="exact"/>
        <w:rPr>
          <w:rFonts w:hint="eastAsia"/>
        </w:rPr>
      </w:pPr>
      <w:bookmarkStart w:id="34" w:name="_Toc102032467"/>
      <w:r>
        <w:rPr>
          <w:rFonts w:hint="eastAsia"/>
        </w:rPr>
        <w:t xml:space="preserve">第二节  </w:t>
      </w:r>
      <w:bookmarkStart w:id="35" w:name="_Toc73538239"/>
      <w:r>
        <w:rPr>
          <w:rFonts w:hint="eastAsia"/>
        </w:rPr>
        <w:t>协同公共法律服务热线平台运行</w:t>
      </w:r>
      <w:bookmarkEnd w:id="34"/>
    </w:p>
    <w:p>
      <w:pPr>
        <w:autoSpaceDN w:val="0"/>
        <w:adjustRightInd w:val="0"/>
        <w:snapToGrid w:val="0"/>
        <w:spacing w:line="560" w:lineRule="exact"/>
        <w:ind w:firstLine="640" w:firstLineChars="200"/>
        <w:rPr>
          <w:rFonts w:hint="eastAsia" w:ascii="仿宋_GB2312" w:eastAsia="仿宋_GB2312"/>
          <w:sz w:val="32"/>
          <w:szCs w:val="32"/>
        </w:rPr>
      </w:pPr>
    </w:p>
    <w:p>
      <w:pPr>
        <w:autoSpaceDN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推进公共法律服务热线平台升级改造。积极融入省级“12348”公共法律服务热线平台。统筹整合“12348”公共法律服务热线与乐山市心连心“12345”政务热线平台深度融合，设立值班律师专家座席，统一标准、统一接听、统一服务，实现24小时全天候值班。按照“一号受理，依法依规，方便快捷”的原则，把群众的“急难愁盼”解决在“家门口”。</w:t>
      </w:r>
    </w:p>
    <w:p>
      <w:pPr>
        <w:autoSpaceDN w:val="0"/>
        <w:adjustRightInd w:val="0"/>
        <w:snapToGrid w:val="0"/>
        <w:spacing w:line="560" w:lineRule="exact"/>
        <w:ind w:firstLine="640" w:firstLineChars="200"/>
        <w:rPr>
          <w:rFonts w:hint="eastAsia" w:ascii="仿宋_GB2312" w:eastAsia="仿宋_GB2312"/>
          <w:sz w:val="32"/>
          <w:szCs w:val="32"/>
        </w:rPr>
      </w:pPr>
    </w:p>
    <w:p>
      <w:pPr>
        <w:pStyle w:val="11"/>
        <w:autoSpaceDN w:val="0"/>
        <w:spacing w:line="560" w:lineRule="exact"/>
        <w:rPr>
          <w:rFonts w:hint="eastAsia"/>
        </w:rPr>
      </w:pPr>
      <w:bookmarkStart w:id="36" w:name="_Toc102032468"/>
      <w:r>
        <w:rPr>
          <w:rFonts w:hint="eastAsia"/>
        </w:rPr>
        <w:t>第三节  推广公共法律服务网络平台使用</w:t>
      </w:r>
      <w:bookmarkEnd w:id="36"/>
    </w:p>
    <w:p>
      <w:pPr>
        <w:autoSpaceDN w:val="0"/>
        <w:adjustRightInd w:val="0"/>
        <w:snapToGrid w:val="0"/>
        <w:spacing w:line="560" w:lineRule="exact"/>
        <w:ind w:firstLine="640" w:firstLineChars="200"/>
        <w:rPr>
          <w:rFonts w:hint="eastAsia" w:ascii="仿宋_GB2312" w:eastAsia="仿宋_GB2312"/>
          <w:sz w:val="32"/>
          <w:szCs w:val="32"/>
        </w:rPr>
      </w:pP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推进公共法律服务网络平台互联互通。升级“乐山市司法局”门户网站法律服务功能，完善中国法律服务网、“12348”四川法网、“智乐山—乐易办”业务联运机制。广泛宣传和推广中国法律服务网、“12348”四川法网等网络平台的法律法规数据库、司法行政（法律服务）案例库，向公众提供法律法规和典型案例检索查询和法律服务机构及从业人员的基本信息以及职业、奖惩、业务、社会服务、信用等信息查询服务。</w:t>
      </w:r>
    </w:p>
    <w:p>
      <w:pPr>
        <w:autoSpaceDN w:val="0"/>
        <w:adjustRightInd w:val="0"/>
        <w:snapToGrid w:val="0"/>
        <w:spacing w:line="580" w:lineRule="exact"/>
        <w:ind w:firstLine="640" w:firstLineChars="200"/>
        <w:rPr>
          <w:rFonts w:hint="eastAsia" w:ascii="仿宋_GB2312" w:eastAsia="仿宋_GB2312"/>
          <w:sz w:val="32"/>
          <w:szCs w:val="32"/>
        </w:rPr>
      </w:pPr>
    </w:p>
    <w:p>
      <w:pPr>
        <w:pStyle w:val="11"/>
        <w:autoSpaceDN w:val="0"/>
        <w:rPr>
          <w:rFonts w:hint="eastAsia"/>
        </w:rPr>
      </w:pPr>
      <w:bookmarkStart w:id="37" w:name="_Toc102032469"/>
      <w:r>
        <w:rPr>
          <w:rFonts w:hint="eastAsia"/>
        </w:rPr>
        <w:t>第四节  推进公共法律服务融合发展</w:t>
      </w:r>
      <w:bookmarkEnd w:id="37"/>
    </w:p>
    <w:p>
      <w:pPr>
        <w:autoSpaceDN w:val="0"/>
        <w:adjustRightInd w:val="0"/>
        <w:snapToGrid w:val="0"/>
        <w:spacing w:line="580" w:lineRule="exact"/>
        <w:ind w:firstLine="640" w:firstLineChars="200"/>
        <w:rPr>
          <w:rFonts w:hint="eastAsia" w:ascii="仿宋_GB2312" w:eastAsia="仿宋_GB2312"/>
          <w:sz w:val="32"/>
          <w:szCs w:val="32"/>
        </w:rPr>
      </w:pP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优化改进服务流程。实体、热线、网络平台采用“前台统一受理、后台分别办理、结果及时反馈”的服务闭环，实现各级平台利用线下、线上窗口统一登记、受理公共法律服务事项后，分流到相关业务部门进行后台办理，并对办理过程进行实时跟踪，最终将办理结果反馈于当事人。</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推动基层实体平台与热线坐席、网络终端相互融合。推动基层实体平台与网络平台无缝衔接，共享网上公共法律服务资源，贴近基层群众需求做好法律咨询和办事服务。有条件的地方在县（市、区）公共法律服务中心和乡（镇、街道）公共法律服务工作站配置网络平台终端设备，优化智能终端音频视频咨询、网上传输材料等功能。</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创新服务模式。规范公共法律服务平台“窗口、流动、订单”式服务，建立定期实地服务、预约集中办理、上门服务等制度，深化“周末不打烊”服务机制。利用信息化手段汇聚实体、热线、网络平台的法律服务需求、法律知识资源和智力成果，整合法律服务资源和信息，提供“主题式、套餐式”服务，构建“人工智能+法律服务”的新型法律服务供给方式，实现公共法律服务“抬头能见、举手能及、扫码能得”。</w:t>
      </w:r>
    </w:p>
    <w:p>
      <w:pPr>
        <w:autoSpaceDN w:val="0"/>
        <w:adjustRightInd w:val="0"/>
        <w:snapToGrid w:val="0"/>
        <w:spacing w:line="580" w:lineRule="exact"/>
        <w:ind w:firstLine="640" w:firstLineChars="200"/>
        <w:rPr>
          <w:rFonts w:hint="eastAsia" w:ascii="仿宋_GB2312" w:eastAsia="仿宋_GB2312"/>
          <w:sz w:val="32"/>
          <w:szCs w:val="32"/>
        </w:rPr>
      </w:pPr>
    </w:p>
    <w:p>
      <w:pPr>
        <w:pStyle w:val="11"/>
        <w:autoSpaceDN w:val="0"/>
        <w:rPr>
          <w:rFonts w:hint="eastAsia"/>
        </w:rPr>
      </w:pPr>
      <w:bookmarkStart w:id="38" w:name="_Toc102032470"/>
      <w:r>
        <w:rPr>
          <w:rFonts w:hint="eastAsia"/>
        </w:rPr>
        <w:t>第五节  加强公共法律服务科技信息化建设</w:t>
      </w:r>
      <w:bookmarkEnd w:id="35"/>
      <w:bookmarkEnd w:id="38"/>
    </w:p>
    <w:p>
      <w:pPr>
        <w:autoSpaceDN w:val="0"/>
        <w:adjustRightInd w:val="0"/>
        <w:snapToGrid w:val="0"/>
        <w:spacing w:line="580" w:lineRule="exact"/>
        <w:ind w:firstLine="640" w:firstLineChars="200"/>
        <w:rPr>
          <w:rFonts w:hint="eastAsia" w:ascii="仿宋_GB2312" w:eastAsia="仿宋_GB2312"/>
          <w:sz w:val="32"/>
          <w:szCs w:val="32"/>
        </w:rPr>
      </w:pPr>
      <w:bookmarkStart w:id="39" w:name="_Toc73538240"/>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加强公共法律服务技术保障。推动公共法律服务网络与政务服务、政府公共服务融合发展。健全完善公共法律服务网络与法院、检察院、公安机关的服务网络以及其他公共服务网络对接机制，共建共享政务资源，实现跨行业、跨区域、跨部门的互通互联、互信互认，为律师、公证、司法鉴定、法律援助、仲裁等业务办理提供支撑。发展电子公证、法律服务智能保障等业务模式，促进公共法律服务提档升级。</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完善公共法律服务综合业务应用体系。推进现代信息技术与公共法律服务深度融合，深化律师、公证、司法鉴定、仲裁、人民调解、法律援助、远程会见、综合指挥等智慧化应用建设，全面推进“智慧矫正中心”示范创建。加强公共法律服务网络平台与各级政务服务平台、“天府通办”“智乐山”融合对接，推进公共法律服务“网上办、指尖办、掌上办”，支持县（市、区）发展灵活多样的远程服务、自助服务、个性服务。</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加大信息化产品供给。支持人工智能、大数据等新技术在公共法律服务领域的深度集成应用与推广，培育发展一批在全省有影响力的法律服务科技平台，开发多样化公共法律服务科技产品，重点发展公共法律服务自助设备、智慧平台、公共法律服务产品网上超市等智能化产品运用，探索建立全生命周期公共法律服务供给机制。</w:t>
      </w:r>
      <w:bookmarkEnd w:id="39"/>
    </w:p>
    <w:p>
      <w:pPr>
        <w:autoSpaceDN w:val="0"/>
        <w:rPr>
          <w:rFonts w:hint="eastAsia"/>
        </w:rPr>
      </w:pPr>
    </w:p>
    <w:p>
      <w:pPr>
        <w:autoSpaceDN w:val="0"/>
        <w:adjustRightInd w:val="0"/>
        <w:snapToGrid w:val="0"/>
        <w:spacing w:line="580" w:lineRule="exact"/>
        <w:jc w:val="center"/>
        <w:rPr>
          <w:rFonts w:hint="eastAsia" w:ascii="仿宋_GB2312" w:eastAsia="仿宋_GB2312"/>
          <w:sz w:val="24"/>
        </w:rPr>
      </w:pPr>
      <w:r>
        <w:rPr>
          <w:rFonts w:hint="eastAsia" w:ascii="仿宋_GB2312" w:eastAsia="仿宋_GB2312"/>
          <w:sz w:val="24"/>
        </w:rPr>
        <w:t>专栏1  完善公共法律服务基础设施建设</w:t>
      </w:r>
    </w:p>
    <w:tbl>
      <w:tblPr>
        <w:tblStyle w:val="7"/>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9056" w:type="dxa"/>
            <w:noWrap w:val="0"/>
            <w:vAlign w:val="top"/>
          </w:tcPr>
          <w:p>
            <w:pPr>
              <w:autoSpaceDN w:val="0"/>
              <w:adjustRightInd w:val="0"/>
              <w:snapToGrid w:val="0"/>
              <w:spacing w:line="520" w:lineRule="exact"/>
              <w:ind w:firstLine="480" w:firstLineChars="200"/>
              <w:rPr>
                <w:rFonts w:hint="eastAsia" w:ascii="仿宋_GB2312" w:eastAsia="仿宋_GB2312"/>
                <w:sz w:val="24"/>
              </w:rPr>
            </w:pPr>
            <w:r>
              <w:rPr>
                <w:rFonts w:hint="eastAsia" w:ascii="仿宋_GB2312" w:eastAsia="仿宋_GB2312"/>
                <w:sz w:val="24"/>
              </w:rPr>
              <w:t>公共法律服务基础设施提档升级。支持井研县司法局、夹江县司法局、马边彝族自治县司法局打造示范性县级公共法律服务中心，全市建设20个示范性公共法律服务工作站和100个示范性公共法律服务工作室。</w:t>
            </w:r>
          </w:p>
          <w:p>
            <w:pPr>
              <w:autoSpaceDN w:val="0"/>
              <w:adjustRightInd w:val="0"/>
              <w:snapToGrid w:val="0"/>
              <w:spacing w:line="520" w:lineRule="exact"/>
              <w:ind w:firstLine="480" w:firstLineChars="200"/>
              <w:rPr>
                <w:rFonts w:hint="eastAsia" w:ascii="仿宋_GB2312" w:eastAsia="仿宋_GB2312"/>
                <w:sz w:val="24"/>
              </w:rPr>
            </w:pPr>
            <w:r>
              <w:rPr>
                <w:rFonts w:hint="eastAsia" w:ascii="仿宋_GB2312" w:eastAsia="仿宋_GB2312"/>
                <w:sz w:val="24"/>
              </w:rPr>
              <w:t>“枫桥式司法所”创建。力争省级“枫桥式司法所”覆盖面达到10%以上，市级“枫桥式司法所”覆盖面达到30%以上，县（市、区）级“枫桥式司法所”覆盖面达到60%以上。</w:t>
            </w:r>
          </w:p>
        </w:tc>
      </w:tr>
    </w:tbl>
    <w:p>
      <w:pPr>
        <w:autoSpaceDN w:val="0"/>
        <w:adjustRightInd w:val="0"/>
        <w:snapToGrid w:val="0"/>
        <w:spacing w:line="580" w:lineRule="exact"/>
        <w:ind w:firstLine="640" w:firstLineChars="200"/>
        <w:rPr>
          <w:rFonts w:hint="eastAsia" w:ascii="仿宋_GB2312" w:eastAsia="仿宋_GB2312"/>
          <w:sz w:val="32"/>
          <w:szCs w:val="32"/>
        </w:rPr>
      </w:pPr>
    </w:p>
    <w:p>
      <w:pPr>
        <w:pStyle w:val="10"/>
        <w:autoSpaceDN w:val="0"/>
        <w:rPr>
          <w:rFonts w:hint="eastAsia"/>
        </w:rPr>
      </w:pPr>
      <w:bookmarkStart w:id="40" w:name="_Toc102032471"/>
      <w:r>
        <w:rPr>
          <w:rFonts w:hint="eastAsia"/>
        </w:rPr>
        <w:t>第四章  提高公共法律服务供给能力</w:t>
      </w:r>
      <w:bookmarkEnd w:id="40"/>
      <w:bookmarkStart w:id="41" w:name="_Toc73538244"/>
    </w:p>
    <w:bookmarkEnd w:id="41"/>
    <w:p>
      <w:pPr>
        <w:autoSpaceDN w:val="0"/>
        <w:adjustRightInd w:val="0"/>
        <w:snapToGrid w:val="0"/>
        <w:spacing w:line="580" w:lineRule="exact"/>
        <w:ind w:firstLine="640" w:firstLineChars="200"/>
        <w:rPr>
          <w:rFonts w:hint="eastAsia" w:ascii="仿宋_GB2312" w:eastAsia="仿宋_GB2312"/>
          <w:sz w:val="32"/>
          <w:szCs w:val="32"/>
        </w:rPr>
      </w:pPr>
      <w:bookmarkStart w:id="42" w:name="_Toc73538242"/>
    </w:p>
    <w:p>
      <w:pPr>
        <w:pStyle w:val="11"/>
        <w:autoSpaceDN w:val="0"/>
        <w:rPr>
          <w:rFonts w:hint="eastAsia"/>
        </w:rPr>
      </w:pPr>
      <w:bookmarkStart w:id="43" w:name="_Toc102032472"/>
      <w:r>
        <w:rPr>
          <w:rFonts w:hint="eastAsia"/>
        </w:rPr>
        <w:t>第一节  提升普法工作质效</w:t>
      </w:r>
      <w:bookmarkEnd w:id="42"/>
      <w:bookmarkEnd w:id="43"/>
    </w:p>
    <w:p>
      <w:pPr>
        <w:autoSpaceDN w:val="0"/>
        <w:adjustRightInd w:val="0"/>
        <w:snapToGrid w:val="0"/>
        <w:spacing w:line="580" w:lineRule="exact"/>
        <w:ind w:firstLine="640" w:firstLineChars="200"/>
        <w:rPr>
          <w:rFonts w:hint="eastAsia" w:ascii="仿宋_GB2312" w:eastAsia="仿宋_GB2312"/>
          <w:sz w:val="32"/>
          <w:szCs w:val="32"/>
        </w:rPr>
      </w:pP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实施公民法治素养提升行动。突出学习宣传习近平法治思想，全面实施“八五”普法规划，把法治教育纳入干部教育体系、国民教育体系、社会教育体系。抓住领导干部这个“关键少数”，健全领导干部年度述法制度，建立领导干部应知应会法律法规清单制度。常态化开展“学宪法讲宪法”“宪法晨读”“开学法治教育第一课”“宪法法律进高校”等活动。落实村（社区）“两委”班子成员集中学法制度，将法治培训作为新一届村（社区）“两委”班子成员任职培训内容。加强基层行政执法人员法治培训。把提升公民法治素养与推进依法治理等实践活动有机结合，把公民法治素养的基本要求融入市民公约、乡规民约、学生守则、行业规章、团体章程等社会规范，推进社会公德、职业道德、家庭美德、个人品德建设。</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落实“谁执法谁普法”普法责任制。完善国家机关普法责任清单制度，推动各职能部门承担应尽的普法责任，推行“谁执法谁普法”责任单位年度履职报告评议制度。围绕构建新发展格局、统筹发展与安全、新时代平安乐山建设新需求、乡村振兴、生态文明建设、构建和谐劳动关系等法律法规，组织开展一月一主题法治宣传活动。</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扩大法治文化阵地覆盖面。在公共设施建设和公共空间利用时融入法治元素，推动法治文化与传统文化、红色文化、地方文化、行业文化、企业文化融合发展。依托新时代文明实践中心（所、站）、爱国主义教育基地、禁毒宣传教育阵地和公共文化机构等阵地，推进法治文化设施与公共文化服务设施一体规划建设。加强基层单位法治文化形象塑造，建设法治“微景观”。打造“绿心公园法治驿站”等法治文化地标，推进法治文化公园（广场）、法治讲堂、法治文化宣传栏（长廊、书屋）、法治小区、法治街区、法治园区等法治文化实体阵地。</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加大法治文化产品供给。构建智能化、专业化的新媒体普法平台，实现县以上地方新媒体普法平台与乐山普法平台互联互通，发挥普法主阵地作用，形成全天候、立体化、全覆盖的宣传态势。打造一批法治文艺传播品牌栏目、节目和工作室，搭建公益性法治文化活动平台，深入开展“法治文艺进万家”、法治微视频微电影征集展播等群众性法治文化活动。探索利用大数据等新技术精准发现和定位普法需求，针对不同受众群体，提供个性化、差异性、菜单式的普法产品。推进“互联网+法治宣传”行动，形成融“报、网、端、微、屏”于一体的全媒体法治传播体系。探索建立“企业运营、市场运作、政府购买、社会资助、百姓受惠”的法治文化建设新模式。</w:t>
      </w:r>
    </w:p>
    <w:p>
      <w:pPr>
        <w:autoSpaceDN w:val="0"/>
        <w:adjustRightInd w:val="0"/>
        <w:snapToGrid w:val="0"/>
        <w:spacing w:line="580" w:lineRule="exact"/>
        <w:ind w:firstLine="640" w:firstLineChars="200"/>
        <w:rPr>
          <w:rFonts w:hint="eastAsia" w:ascii="仿宋_GB2312" w:eastAsia="仿宋_GB2312"/>
          <w:sz w:val="32"/>
          <w:szCs w:val="32"/>
        </w:rPr>
      </w:pPr>
    </w:p>
    <w:p>
      <w:pPr>
        <w:autoSpaceDN w:val="0"/>
        <w:adjustRightInd w:val="0"/>
        <w:snapToGrid w:val="0"/>
        <w:spacing w:line="520" w:lineRule="exact"/>
        <w:jc w:val="center"/>
        <w:rPr>
          <w:rFonts w:hint="eastAsia" w:ascii="仿宋_GB2312" w:eastAsia="仿宋_GB2312"/>
          <w:sz w:val="24"/>
        </w:rPr>
      </w:pPr>
      <w:r>
        <w:rPr>
          <w:rFonts w:hint="eastAsia" w:ascii="仿宋_GB2312" w:eastAsia="仿宋_GB2312"/>
          <w:sz w:val="24"/>
        </w:rPr>
        <w:t>专栏2  提高普法依法治理工作质效</w:t>
      </w:r>
    </w:p>
    <w:tbl>
      <w:tblPr>
        <w:tblStyle w:val="7"/>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240" w:type="dxa"/>
            <w:noWrap w:val="0"/>
            <w:vAlign w:val="top"/>
          </w:tcPr>
          <w:p>
            <w:pPr>
              <w:autoSpaceDN w:val="0"/>
              <w:adjustRightInd w:val="0"/>
              <w:snapToGrid w:val="0"/>
              <w:spacing w:line="520" w:lineRule="exact"/>
              <w:ind w:firstLine="480" w:firstLineChars="200"/>
              <w:rPr>
                <w:rFonts w:hint="eastAsia" w:ascii="仿宋_GB2312" w:eastAsia="仿宋_GB2312"/>
                <w:sz w:val="24"/>
              </w:rPr>
            </w:pPr>
            <w:r>
              <w:rPr>
                <w:rFonts w:hint="eastAsia" w:ascii="仿宋_GB2312" w:eastAsia="仿宋_GB2312"/>
                <w:sz w:val="24"/>
              </w:rPr>
              <w:t>宪法学习宣传教育工程。结合“12·4”国家宪法日，开展“宪法宣传周”活动。加强宪法文化建设，鼓励有条件的县（市、区）建设一批宪法宣传教育基地（公园、广场）。</w:t>
            </w:r>
          </w:p>
          <w:p>
            <w:pPr>
              <w:autoSpaceDN w:val="0"/>
              <w:adjustRightInd w:val="0"/>
              <w:snapToGrid w:val="0"/>
              <w:spacing w:line="520" w:lineRule="exact"/>
              <w:ind w:firstLine="480" w:firstLineChars="200"/>
              <w:rPr>
                <w:rFonts w:hint="eastAsia" w:ascii="仿宋_GB2312" w:eastAsia="仿宋_GB2312"/>
                <w:sz w:val="24"/>
              </w:rPr>
            </w:pPr>
            <w:r>
              <w:rPr>
                <w:rFonts w:hint="eastAsia" w:ascii="仿宋_GB2312" w:eastAsia="仿宋_GB2312"/>
                <w:sz w:val="24"/>
              </w:rPr>
              <w:t>民法典学习宣传工程。组织编写民法典漫画、农民画、年画等通俗读物。成立乐山市“八五”普法暨民法典普法宣讲团。通过“报、网、端、微、屏”等全媒体，运用案例开展民法典宣传。鼓励有条件的县（市、区）建设一批民法典公园、广场、长廊。</w:t>
            </w:r>
          </w:p>
          <w:p>
            <w:pPr>
              <w:autoSpaceDN w:val="0"/>
              <w:adjustRightInd w:val="0"/>
              <w:snapToGrid w:val="0"/>
              <w:spacing w:line="520" w:lineRule="exact"/>
              <w:ind w:firstLine="480" w:firstLineChars="200"/>
              <w:rPr>
                <w:rFonts w:hint="eastAsia" w:ascii="仿宋_GB2312" w:eastAsia="仿宋_GB2312"/>
                <w:sz w:val="24"/>
              </w:rPr>
            </w:pPr>
            <w:r>
              <w:rPr>
                <w:rFonts w:hint="eastAsia" w:ascii="仿宋_GB2312" w:eastAsia="仿宋_GB2312"/>
                <w:sz w:val="24"/>
              </w:rPr>
              <w:t>公民法治素养提升工程。搭建“学法考试平台”，实现国家工作人员在线学法考试全覆盖。组织国家工作人员通过现场或网络旁听法庭庭审。实施乡村（社区）“法律明白人”培育工程，到2025年全市每个村（社区）有5名以上骨干“法律明白人”,每个村民小组和居民小区楼栋至少培养1名“法律明白人”。</w:t>
            </w:r>
          </w:p>
          <w:p>
            <w:pPr>
              <w:autoSpaceDN w:val="0"/>
              <w:adjustRightInd w:val="0"/>
              <w:snapToGrid w:val="0"/>
              <w:spacing w:line="520" w:lineRule="exact"/>
              <w:ind w:firstLine="480" w:firstLineChars="200"/>
              <w:rPr>
                <w:rFonts w:hint="eastAsia" w:ascii="仿宋_GB2312" w:eastAsia="仿宋_GB2312"/>
                <w:sz w:val="24"/>
              </w:rPr>
            </w:pPr>
            <w:r>
              <w:rPr>
                <w:rFonts w:hint="eastAsia" w:ascii="仿宋_GB2312" w:eastAsia="仿宋_GB2312"/>
                <w:sz w:val="24"/>
              </w:rPr>
              <w:t>法治文化惠民工程。加强培育法治文化建设先进典型，建立一批法治文化建设示范点。组织创作一批法治文化精品，创建一批法治文艺传播品牌栏目、节目和工作室。加大法治文化惠民力度，搭建公益性法治文化活动平台，深入开展“法治文艺进万家”、法治微视频微电影征集展播等活动。</w:t>
            </w:r>
          </w:p>
        </w:tc>
      </w:tr>
    </w:tbl>
    <w:p>
      <w:pPr>
        <w:autoSpaceDN w:val="0"/>
        <w:spacing w:line="580" w:lineRule="exact"/>
        <w:rPr>
          <w:rFonts w:hint="eastAsia"/>
        </w:rPr>
      </w:pPr>
      <w:bookmarkStart w:id="44" w:name="_Toc73538245"/>
    </w:p>
    <w:p>
      <w:pPr>
        <w:pStyle w:val="11"/>
        <w:autoSpaceDN w:val="0"/>
        <w:rPr>
          <w:rFonts w:hint="eastAsia"/>
        </w:rPr>
      </w:pPr>
      <w:bookmarkStart w:id="45" w:name="_Toc102032473"/>
      <w:r>
        <w:rPr>
          <w:rFonts w:hint="eastAsia"/>
        </w:rPr>
        <w:t>第二节  加强和改进法律援助工作</w:t>
      </w:r>
      <w:bookmarkEnd w:id="45"/>
    </w:p>
    <w:p>
      <w:pPr>
        <w:autoSpaceDN w:val="0"/>
        <w:adjustRightInd w:val="0"/>
        <w:snapToGrid w:val="0"/>
        <w:spacing w:line="580" w:lineRule="exact"/>
        <w:ind w:firstLine="640" w:firstLineChars="200"/>
        <w:rPr>
          <w:rFonts w:hint="eastAsia" w:ascii="仿宋_GB2312" w:eastAsia="仿宋_GB2312"/>
          <w:sz w:val="32"/>
          <w:szCs w:val="32"/>
        </w:rPr>
      </w:pP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健全法律援助保障体系。贯彻实施《中华人民共和国法律援助法》，落实省、市法律援助标准，明确服务对象、内容及经费支出责任。加强全市法律援助机构规范化、标准化建设，推进县（市、区）法律援助机构全覆盖，打造民族地区法律援助对口帮扶示范点。健全完善法律援助对口帮扶和异地协助机制，建立刑事法律援助律师库，加大法律援助值班律师培训力度，规范刑事法律援助案件办理程序，完善值班律师激励机制。</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抓好重点群体法律援助工作。加强低收入群体、残疾人、农民工、老年人、未成年人、单亲困难母亲等特殊群体和军人军属、退役军人及其他优抚对象的法律援助工作。依法有序扩大法律援助范围，科学合理确定经济困难标准和事项范围，拓宽覆盖人群。建立重点群体法律援助绿色通道。实现农民工欠薪法律援助“一站通办”“一线通办”“一网通办”。</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提升法律援助服务质效。充分运用智慧公共法律平台，实现法律援助与政法系统数据平台互联互通，信息共享。开展“互联网+法律援助”，实现法律援助案件申请受理、指派办理、结案归档、质量评估全程线上运行，健全法律援助案件质量监管体系，创新服务模式，提升服务质效。</w:t>
      </w:r>
    </w:p>
    <w:p>
      <w:pPr>
        <w:autoSpaceDN w:val="0"/>
        <w:rPr>
          <w:rFonts w:hint="eastAsia"/>
        </w:rPr>
      </w:pPr>
    </w:p>
    <w:p>
      <w:pPr>
        <w:autoSpaceDN w:val="0"/>
        <w:adjustRightInd w:val="0"/>
        <w:snapToGrid w:val="0"/>
        <w:spacing w:line="580" w:lineRule="exact"/>
        <w:jc w:val="center"/>
        <w:rPr>
          <w:rFonts w:hint="eastAsia" w:ascii="仿宋_GB2312" w:eastAsia="仿宋_GB2312"/>
          <w:sz w:val="24"/>
        </w:rPr>
      </w:pPr>
      <w:r>
        <w:rPr>
          <w:rFonts w:hint="eastAsia" w:ascii="仿宋_GB2312" w:eastAsia="仿宋_GB2312"/>
          <w:sz w:val="24"/>
        </w:rPr>
        <w:t>专栏3  法律援助提升行动</w:t>
      </w:r>
    </w:p>
    <w:tbl>
      <w:tblPr>
        <w:tblStyle w:val="7"/>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100" w:type="dxa"/>
            <w:noWrap w:val="0"/>
            <w:vAlign w:val="top"/>
          </w:tcPr>
          <w:p>
            <w:pPr>
              <w:autoSpaceDN w:val="0"/>
              <w:adjustRightInd w:val="0"/>
              <w:snapToGrid w:val="0"/>
              <w:spacing w:line="520" w:lineRule="exact"/>
              <w:ind w:firstLine="480" w:firstLineChars="200"/>
              <w:rPr>
                <w:rFonts w:hint="eastAsia" w:ascii="仿宋_GB2312" w:eastAsia="仿宋_GB2312"/>
                <w:sz w:val="24"/>
              </w:rPr>
            </w:pPr>
            <w:r>
              <w:rPr>
                <w:rFonts w:hint="eastAsia" w:ascii="仿宋_GB2312" w:eastAsia="仿宋_GB2312"/>
                <w:sz w:val="24"/>
              </w:rPr>
              <w:t>法律援助机构能力提升计划。全市规范化、标准化法律援助机构建成率90%以上。</w:t>
            </w:r>
          </w:p>
          <w:p>
            <w:pPr>
              <w:autoSpaceDN w:val="0"/>
              <w:adjustRightInd w:val="0"/>
              <w:snapToGrid w:val="0"/>
              <w:spacing w:line="520" w:lineRule="exact"/>
              <w:ind w:firstLine="480" w:firstLineChars="200"/>
              <w:rPr>
                <w:rFonts w:hint="eastAsia" w:ascii="仿宋_GB2312" w:eastAsia="仿宋_GB2312"/>
                <w:sz w:val="24"/>
              </w:rPr>
            </w:pPr>
            <w:r>
              <w:rPr>
                <w:rFonts w:hint="eastAsia" w:ascii="仿宋_GB2312" w:eastAsia="仿宋_GB2312"/>
                <w:sz w:val="24"/>
              </w:rPr>
              <w:t>重点群体法律援助示范工程。在全市打造1个劳动人事争议仲裁法律援助示范工作站。</w:t>
            </w:r>
          </w:p>
          <w:p>
            <w:pPr>
              <w:autoSpaceDN w:val="0"/>
              <w:adjustRightInd w:val="0"/>
              <w:snapToGrid w:val="0"/>
              <w:spacing w:line="520" w:lineRule="exact"/>
              <w:ind w:firstLine="480" w:firstLineChars="200"/>
              <w:rPr>
                <w:rFonts w:hint="eastAsia" w:ascii="仿宋_GB2312" w:eastAsia="仿宋_GB2312"/>
                <w:sz w:val="28"/>
                <w:szCs w:val="28"/>
              </w:rPr>
            </w:pPr>
            <w:r>
              <w:rPr>
                <w:rFonts w:hint="eastAsia" w:ascii="仿宋_GB2312" w:eastAsia="仿宋_GB2312"/>
                <w:sz w:val="24"/>
              </w:rPr>
              <w:t>民族地区法律援助对口帮扶提升工程。在金口河区、峨边彝族自治县、马边彝族自治县、打造民族地区法律援助对口帮扶示范点。</w:t>
            </w:r>
          </w:p>
        </w:tc>
      </w:tr>
    </w:tbl>
    <w:p>
      <w:pPr>
        <w:autoSpaceDN w:val="0"/>
        <w:adjustRightInd w:val="0"/>
        <w:snapToGrid w:val="0"/>
        <w:spacing w:line="580" w:lineRule="exact"/>
        <w:ind w:firstLine="640" w:firstLineChars="200"/>
        <w:rPr>
          <w:rFonts w:hint="eastAsia" w:ascii="仿宋_GB2312" w:eastAsia="仿宋_GB2312"/>
          <w:sz w:val="32"/>
          <w:szCs w:val="32"/>
        </w:rPr>
      </w:pPr>
    </w:p>
    <w:p>
      <w:pPr>
        <w:pStyle w:val="11"/>
        <w:autoSpaceDN w:val="0"/>
        <w:rPr>
          <w:rFonts w:hint="eastAsia"/>
        </w:rPr>
      </w:pPr>
      <w:bookmarkStart w:id="46" w:name="_Toc102032474"/>
      <w:r>
        <w:rPr>
          <w:rFonts w:hint="eastAsia"/>
        </w:rPr>
        <w:t>第三节  创新升级新时代人民调解工作</w:t>
      </w:r>
      <w:bookmarkEnd w:id="46"/>
    </w:p>
    <w:p>
      <w:pPr>
        <w:autoSpaceDN w:val="0"/>
        <w:adjustRightInd w:val="0"/>
        <w:snapToGrid w:val="0"/>
        <w:spacing w:line="580" w:lineRule="exact"/>
        <w:ind w:firstLine="640" w:firstLineChars="200"/>
        <w:rPr>
          <w:rFonts w:hint="eastAsia" w:ascii="仿宋_GB2312" w:eastAsia="仿宋_GB2312"/>
          <w:sz w:val="32"/>
          <w:szCs w:val="32"/>
        </w:rPr>
      </w:pP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创新矛盾纠纷多元化解机制。坚持和发展新时代“枫桥经验”，探索构建“调解+”矛盾纠纷多元化解新模式，统筹整合调解、公证、仲裁、行政裁决、行政复议等司法行政优势资源和力量，多方参与矛盾纠纷多元预防调处化解。</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完善组织建设。巩固规范乡（镇、街道）和村（社区）人民调解组织，按照“应建尽建”的原则，推动人民调解工作向医疗卫生、道路交通事故、物业服务、知识产权等矛盾纠纷多发领域拓展。加快完善专业性、行业性、区域性人民调解组织，推进“德古调解”法治化、规范化建设，构建多层次、宽领域、全覆盖的人民调解组织网络。</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优化队伍结构。大力加强专业化、专职化人民调解员队伍建设，有序推进在“五老”人员、乡贤中选聘人民调解员，积极通过政府购买服务等方式提供调解服务，有条件的村（社区）人民调解委员会配备1名以上专职人民调解员,不断优化调解员队伍结构。</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强化品牌引领。积极推进特色品牌调解室建设，打造一批省、市级品牌调解工作室，鼓励支持具备条件的调解员建立个人品牌调解室，具备条件的诉调、警调组织打造特色品牌调解室，推动人民调解组织服务乡村振兴、成渝地区双城经济圈建设等重大战略，探索特色品牌调解室进驻项目工地。</w:t>
      </w:r>
    </w:p>
    <w:p>
      <w:pPr>
        <w:autoSpaceDN w:val="0"/>
        <w:adjustRightInd w:val="0"/>
        <w:snapToGrid w:val="0"/>
        <w:spacing w:line="580" w:lineRule="exact"/>
        <w:ind w:firstLine="640" w:firstLineChars="200"/>
        <w:rPr>
          <w:rFonts w:hint="eastAsia" w:ascii="仿宋_GB2312" w:eastAsia="仿宋_GB2312"/>
          <w:sz w:val="32"/>
          <w:szCs w:val="32"/>
        </w:rPr>
      </w:pPr>
    </w:p>
    <w:p>
      <w:pPr>
        <w:autoSpaceDN w:val="0"/>
        <w:spacing w:line="580" w:lineRule="exact"/>
        <w:jc w:val="center"/>
        <w:rPr>
          <w:rFonts w:hint="eastAsia" w:ascii="仿宋_GB2312" w:eastAsia="仿宋_GB2312"/>
          <w:sz w:val="24"/>
        </w:rPr>
      </w:pPr>
      <w:r>
        <w:rPr>
          <w:rFonts w:hint="eastAsia" w:ascii="仿宋_GB2312" w:eastAsia="仿宋_GB2312"/>
          <w:sz w:val="24"/>
        </w:rPr>
        <w:t>专栏4  创新升级新时代人民调解工作</w:t>
      </w:r>
    </w:p>
    <w:tbl>
      <w:tblPr>
        <w:tblStyle w:val="7"/>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000" w:type="dxa"/>
            <w:noWrap w:val="0"/>
            <w:vAlign w:val="top"/>
          </w:tcPr>
          <w:p>
            <w:pPr>
              <w:autoSpaceDN w:val="0"/>
              <w:adjustRightInd w:val="0"/>
              <w:snapToGrid w:val="0"/>
              <w:spacing w:line="520" w:lineRule="exact"/>
              <w:ind w:firstLine="480" w:firstLineChars="200"/>
              <w:rPr>
                <w:rFonts w:hint="eastAsia" w:ascii="仿宋_GB2312" w:eastAsia="仿宋_GB2312"/>
                <w:sz w:val="24"/>
              </w:rPr>
            </w:pPr>
            <w:r>
              <w:rPr>
                <w:rFonts w:hint="eastAsia" w:ascii="仿宋_GB2312" w:eastAsia="仿宋_GB2312"/>
                <w:sz w:val="24"/>
              </w:rPr>
              <w:t>人民调解能力提升工程。打造10个省级品牌调解工作室，推进峨边彝族自治县“德古调解协会”规范化、专业化建设。通过政府购买服务等方式提供调解服务，有条件的村（社区）人民调解委员会配备1名以上专职人民调解员。培育20名金牌人民调解员，开展“百优调解专家团队”建设。</w:t>
            </w:r>
          </w:p>
        </w:tc>
      </w:tr>
    </w:tbl>
    <w:p>
      <w:pPr>
        <w:autoSpaceDN w:val="0"/>
        <w:adjustRightInd w:val="0"/>
        <w:snapToGrid w:val="0"/>
        <w:spacing w:line="580" w:lineRule="exact"/>
        <w:ind w:firstLine="640" w:firstLineChars="200"/>
        <w:rPr>
          <w:rFonts w:hint="eastAsia" w:ascii="仿宋_GB2312" w:eastAsia="仿宋_GB2312"/>
          <w:sz w:val="32"/>
          <w:szCs w:val="32"/>
        </w:rPr>
      </w:pPr>
    </w:p>
    <w:p>
      <w:pPr>
        <w:pStyle w:val="11"/>
        <w:autoSpaceDN w:val="0"/>
        <w:rPr>
          <w:rFonts w:hint="eastAsia"/>
        </w:rPr>
      </w:pPr>
      <w:bookmarkStart w:id="47" w:name="_Toc102032475"/>
      <w:r>
        <w:rPr>
          <w:rFonts w:hint="eastAsia"/>
        </w:rPr>
        <w:t>第四节  优化律师法律服务</w:t>
      </w:r>
      <w:bookmarkEnd w:id="44"/>
      <w:bookmarkEnd w:id="47"/>
    </w:p>
    <w:p>
      <w:pPr>
        <w:autoSpaceDN w:val="0"/>
        <w:adjustRightInd w:val="0"/>
        <w:snapToGrid w:val="0"/>
        <w:spacing w:line="580" w:lineRule="exact"/>
        <w:ind w:firstLine="640" w:firstLineChars="200"/>
        <w:rPr>
          <w:rFonts w:hint="eastAsia" w:ascii="仿宋_GB2312" w:eastAsia="仿宋_GB2312"/>
          <w:sz w:val="32"/>
          <w:szCs w:val="32"/>
        </w:rPr>
      </w:pPr>
      <w:bookmarkStart w:id="48" w:name="_Toc73538246"/>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加强党政机关法律顾问、公职律师队伍建设。普遍设立公职律师或者开展公职律师工作，实现公职律师工作全覆盖。加强党政机关法律顾问选聘备案，优化公职律师管理、培育和使用。发挥法律顾问、公职律师在重大公共决策中的积极作用。</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推进村（社区）法律顾问工作提质增效。围绕“全覆盖、全规范、全时空”的目标，开展“乐山新阶·律动乡村”助力乡村振兴行动，实施村（社区）法律顾问服务清单制和管理考核制，提升村（社区）法律顾问的有效覆盖率。</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提升法律服务能力。加强律师事务所专业化、规范化、规模化建设，有效整合律师行业资源提升发展，培育发展法律科技产品、积极拓展法律服务领域。实施乐山律师行业青年律师领军人才训练营计划。</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积极发展涉外法律服务。引进培养涉外律师人才，培育涉外法律服务机构，积极开展涉外法律服务。</w:t>
      </w:r>
    </w:p>
    <w:p>
      <w:pPr>
        <w:autoSpaceDN w:val="0"/>
        <w:adjustRightInd w:val="0"/>
        <w:snapToGrid w:val="0"/>
        <w:spacing w:line="580" w:lineRule="exact"/>
        <w:ind w:firstLine="640" w:firstLineChars="200"/>
        <w:rPr>
          <w:rFonts w:hint="eastAsia" w:ascii="仿宋_GB2312" w:eastAsia="仿宋_GB2312"/>
          <w:sz w:val="32"/>
          <w:szCs w:val="32"/>
        </w:rPr>
      </w:pPr>
    </w:p>
    <w:p>
      <w:pPr>
        <w:pStyle w:val="11"/>
        <w:autoSpaceDN w:val="0"/>
        <w:rPr>
          <w:rFonts w:hint="eastAsia"/>
        </w:rPr>
      </w:pPr>
      <w:bookmarkStart w:id="49" w:name="_Toc102032476"/>
      <w:r>
        <w:rPr>
          <w:rFonts w:hint="eastAsia"/>
        </w:rPr>
        <w:t>第五节  拓展公证服务业务领域</w:t>
      </w:r>
      <w:bookmarkEnd w:id="48"/>
      <w:bookmarkEnd w:id="49"/>
    </w:p>
    <w:p>
      <w:pPr>
        <w:autoSpaceDN w:val="0"/>
        <w:adjustRightInd w:val="0"/>
        <w:snapToGrid w:val="0"/>
        <w:spacing w:line="580" w:lineRule="exact"/>
        <w:ind w:firstLine="640" w:firstLineChars="200"/>
        <w:rPr>
          <w:rFonts w:hint="eastAsia" w:ascii="仿宋_GB2312" w:eastAsia="仿宋_GB2312"/>
          <w:sz w:val="32"/>
          <w:szCs w:val="32"/>
        </w:rPr>
      </w:pPr>
    </w:p>
    <w:p>
      <w:pPr>
        <w:autoSpaceDN w:val="0"/>
        <w:adjustRightInd w:val="0"/>
        <w:snapToGrid w:val="0"/>
        <w:spacing w:line="580" w:lineRule="exact"/>
        <w:ind w:firstLine="640" w:firstLineChars="200"/>
        <w:rPr>
          <w:rFonts w:hint="eastAsia" w:ascii="仿宋_GB2312" w:eastAsia="仿宋_GB2312"/>
          <w:sz w:val="32"/>
          <w:szCs w:val="32"/>
        </w:rPr>
      </w:pPr>
      <w:bookmarkStart w:id="50" w:name="_Toc73538247"/>
      <w:r>
        <w:rPr>
          <w:rFonts w:hint="eastAsia" w:ascii="仿宋_GB2312" w:eastAsia="仿宋_GB2312"/>
          <w:sz w:val="32"/>
          <w:szCs w:val="32"/>
        </w:rPr>
        <w:t>加强公证机构能力建设。落实公证机构改革政策，推进公证机构体制改革机制创新，完善公证机构保障机制。推进公证业务和管理信息化应用,加大公证行业内部协查和用证部门间数据共享,提升标准化公证机构覆盖率。加强涉外公证、知识产权保护、金融风险防控等公证法律服务能力建设。</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优化公证服务。深化公证“放管服”改革，推进公证服务利企便民政策,实施公证证明材料清单制、一次性告知制、告知承诺制，深入开展公证办理“最多跑一次”“全程网办”。</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促进公证优质资源均衡覆盖。主动适应公证机构执业区域调整变化，有效延伸服务触角。加大公证机构对口帮扶民族地区工作力度，推动以强带弱，拓展帮扶途径。鼓励公证资源不足地方畅通专业人员引进渠道，持续开展服务技能培训。</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拓展创新业务领域。深化公证在服务金融、民营企业、保障“三农”、产权保护、司法辅助事务、家庭事务、竞技体育、突发公共事件应对等领域的实践，积极参与矛盾纠纷多元化解和诉源治理。综合运用公证证明、保全证据、现场监督、赋予强制执行效力等制度特色和职能优势,不断拓展创新服务领域和项目。</w:t>
      </w:r>
    </w:p>
    <w:bookmarkEnd w:id="50"/>
    <w:p>
      <w:pPr>
        <w:autoSpaceDN w:val="0"/>
        <w:adjustRightInd w:val="0"/>
        <w:snapToGrid w:val="0"/>
        <w:spacing w:line="580" w:lineRule="exact"/>
        <w:ind w:firstLine="640" w:firstLineChars="200"/>
        <w:rPr>
          <w:rFonts w:hint="eastAsia" w:ascii="仿宋_GB2312" w:eastAsia="仿宋_GB2312"/>
          <w:sz w:val="32"/>
          <w:szCs w:val="32"/>
        </w:rPr>
      </w:pPr>
      <w:bookmarkStart w:id="51" w:name="_Toc73538248"/>
    </w:p>
    <w:p>
      <w:pPr>
        <w:pStyle w:val="11"/>
        <w:autoSpaceDN w:val="0"/>
        <w:rPr>
          <w:rFonts w:hint="eastAsia"/>
        </w:rPr>
      </w:pPr>
      <w:bookmarkStart w:id="52" w:name="_Toc102032477"/>
      <w:r>
        <w:rPr>
          <w:rFonts w:hint="eastAsia"/>
        </w:rPr>
        <w:t>第六节  推进司法鉴定行业高质量发展</w:t>
      </w:r>
      <w:bookmarkEnd w:id="51"/>
      <w:bookmarkEnd w:id="52"/>
    </w:p>
    <w:p>
      <w:pPr>
        <w:autoSpaceDN w:val="0"/>
        <w:adjustRightInd w:val="0"/>
        <w:snapToGrid w:val="0"/>
        <w:spacing w:line="580" w:lineRule="exact"/>
        <w:ind w:firstLine="640" w:firstLineChars="200"/>
        <w:rPr>
          <w:rFonts w:hint="eastAsia" w:ascii="仿宋_GB2312" w:eastAsia="仿宋_GB2312"/>
          <w:sz w:val="32"/>
          <w:szCs w:val="32"/>
        </w:rPr>
      </w:pP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推进司法鉴定机构规范化、规模化、品牌化建设，鼓励、引导司法鉴定机构通过多种途径实现规模发展，做大做强，做精做优。加强司法鉴定机构资质认证认可，推进能力验证常态化、制度化，开展司法鉴定机构诚信执业评估活动，促进司法鉴定行业诚信建设。提高司法鉴定信息化水平，健全完善司法鉴定管理与使用衔接机制，加强司法鉴定机构与办案机关的信息互通共享；加强信息化建设，实现鉴定受理、鉴定过程、鉴定意见审核签发等各环节的全过程留痕、全流程监管。加强司法鉴定与法律援助工作的衔接，依法减免法律援助受援人、困难群众司法鉴定费用。完善司法鉴定人执业培训制度，强化鉴定人责任意识和业务能力，提高职业道德水平、专业技能和法律素养，提高司法鉴定质量和公信力。</w:t>
      </w:r>
    </w:p>
    <w:p>
      <w:pPr>
        <w:autoSpaceDN w:val="0"/>
        <w:adjustRightInd w:val="0"/>
        <w:snapToGrid w:val="0"/>
        <w:spacing w:line="580" w:lineRule="exact"/>
        <w:ind w:firstLine="640" w:firstLineChars="200"/>
        <w:rPr>
          <w:rFonts w:hint="eastAsia" w:ascii="仿宋_GB2312" w:eastAsia="仿宋_GB2312"/>
          <w:sz w:val="32"/>
          <w:szCs w:val="32"/>
        </w:rPr>
      </w:pPr>
    </w:p>
    <w:p>
      <w:pPr>
        <w:pStyle w:val="11"/>
        <w:autoSpaceDN w:val="0"/>
        <w:rPr>
          <w:rFonts w:hint="eastAsia"/>
        </w:rPr>
      </w:pPr>
      <w:bookmarkStart w:id="53" w:name="_Toc102032478"/>
      <w:r>
        <w:rPr>
          <w:rFonts w:hint="eastAsia"/>
        </w:rPr>
        <w:t>第七节  提升仲裁服务能力</w:t>
      </w:r>
      <w:bookmarkEnd w:id="53"/>
    </w:p>
    <w:p>
      <w:pPr>
        <w:autoSpaceDN w:val="0"/>
        <w:adjustRightInd w:val="0"/>
        <w:snapToGrid w:val="0"/>
        <w:spacing w:line="580" w:lineRule="exact"/>
        <w:ind w:firstLine="640" w:firstLineChars="200"/>
        <w:rPr>
          <w:rFonts w:hint="eastAsia" w:ascii="仿宋_GB2312" w:eastAsia="仿宋_GB2312"/>
          <w:sz w:val="32"/>
          <w:szCs w:val="32"/>
        </w:rPr>
      </w:pP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推进仲裁机构信息化建设。建立网络化仲裁管理系统，实现网上立案、网上庭审、网上签批，打造高效协同的智慧仲裁平台。推动互联网仲裁发展，依托互联网技术，加大线上仲裁、智能仲裁建设，实现线上线下协调发展，提升仲裁效率。推进仲裁机构内部治理改革,健全完善仲裁规则,创新仲裁员选聘和管理,推进仲裁秘书职业化专业化。</w:t>
      </w:r>
    </w:p>
    <w:p>
      <w:pPr>
        <w:autoSpaceDN w:val="0"/>
        <w:rPr>
          <w:rFonts w:hint="eastAsia"/>
        </w:rPr>
      </w:pPr>
    </w:p>
    <w:p>
      <w:pPr>
        <w:autoSpaceDN w:val="0"/>
        <w:adjustRightInd w:val="0"/>
        <w:snapToGrid w:val="0"/>
        <w:spacing w:line="580" w:lineRule="exact"/>
        <w:jc w:val="center"/>
        <w:rPr>
          <w:rFonts w:hint="eastAsia" w:ascii="仿宋_GB2312" w:eastAsia="仿宋_GB2312"/>
          <w:sz w:val="24"/>
        </w:rPr>
      </w:pPr>
      <w:r>
        <w:rPr>
          <w:rFonts w:hint="eastAsia" w:ascii="仿宋_GB2312" w:eastAsia="仿宋_GB2312"/>
          <w:sz w:val="24"/>
        </w:rPr>
        <w:t>专栏5  优化法律服务供给</w:t>
      </w:r>
    </w:p>
    <w:tbl>
      <w:tblPr>
        <w:tblStyle w:val="7"/>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040" w:type="dxa"/>
            <w:noWrap w:val="0"/>
            <w:vAlign w:val="top"/>
          </w:tcPr>
          <w:p>
            <w:pPr>
              <w:autoSpaceDN w:val="0"/>
              <w:adjustRightInd w:val="0"/>
              <w:snapToGrid w:val="0"/>
              <w:spacing w:line="520" w:lineRule="exact"/>
              <w:ind w:firstLine="480" w:firstLineChars="200"/>
              <w:rPr>
                <w:rFonts w:hint="eastAsia" w:ascii="仿宋_GB2312" w:eastAsia="仿宋_GB2312"/>
                <w:sz w:val="24"/>
              </w:rPr>
            </w:pPr>
            <w:r>
              <w:rPr>
                <w:rFonts w:hint="eastAsia" w:ascii="仿宋_GB2312" w:eastAsia="仿宋_GB2312"/>
                <w:sz w:val="24"/>
              </w:rPr>
              <w:t>一村（社区）一法律顾问提升行动。村（社区）法律顾问中律师、基层法律服务工作者比例提升50%。</w:t>
            </w:r>
          </w:p>
          <w:p>
            <w:pPr>
              <w:autoSpaceDN w:val="0"/>
              <w:adjustRightInd w:val="0"/>
              <w:snapToGrid w:val="0"/>
              <w:spacing w:line="520" w:lineRule="exact"/>
              <w:ind w:firstLine="480" w:firstLineChars="200"/>
              <w:rPr>
                <w:rFonts w:hint="eastAsia" w:ascii="仿宋_GB2312" w:eastAsia="仿宋_GB2312"/>
                <w:sz w:val="24"/>
              </w:rPr>
            </w:pPr>
            <w:r>
              <w:rPr>
                <w:rFonts w:hint="eastAsia" w:ascii="仿宋_GB2312" w:eastAsia="仿宋_GB2312"/>
                <w:sz w:val="24"/>
              </w:rPr>
              <w:t>律师品牌能力提升行动。打造一批专业化程度高、业务特色明显、区域影响力较强的品牌律师事务所，培育50名律师行业专业人才。</w:t>
            </w:r>
          </w:p>
          <w:p>
            <w:pPr>
              <w:autoSpaceDN w:val="0"/>
              <w:adjustRightInd w:val="0"/>
              <w:snapToGrid w:val="0"/>
              <w:spacing w:line="520" w:lineRule="exact"/>
              <w:ind w:firstLine="480" w:firstLineChars="200"/>
              <w:rPr>
                <w:rFonts w:hint="eastAsia" w:ascii="仿宋_GB2312" w:eastAsia="仿宋_GB2312"/>
                <w:sz w:val="24"/>
              </w:rPr>
            </w:pPr>
            <w:r>
              <w:rPr>
                <w:rFonts w:hint="eastAsia" w:ascii="仿宋_GB2312" w:eastAsia="仿宋_GB2312"/>
                <w:sz w:val="24"/>
              </w:rPr>
              <w:t>规范发展基层法律服务所。推动基层法律服务所标准化规范化建设，打造5家标准化、规范化基层法律服务所。</w:t>
            </w:r>
          </w:p>
          <w:p>
            <w:pPr>
              <w:autoSpaceDN w:val="0"/>
              <w:adjustRightInd w:val="0"/>
              <w:snapToGrid w:val="0"/>
              <w:spacing w:line="520" w:lineRule="exact"/>
              <w:ind w:firstLine="480" w:firstLineChars="200"/>
              <w:rPr>
                <w:rFonts w:hint="eastAsia" w:ascii="仿宋_GB2312" w:eastAsia="仿宋_GB2312"/>
                <w:sz w:val="24"/>
              </w:rPr>
            </w:pPr>
            <w:r>
              <w:rPr>
                <w:rFonts w:hint="eastAsia" w:ascii="仿宋_GB2312" w:eastAsia="仿宋_GB2312"/>
                <w:sz w:val="24"/>
              </w:rPr>
              <w:t>公证机构能力提升行动。培育标准化公证机构11个，服务知识产权、金融等新型业务领域的专业化品牌公证机构1个。</w:t>
            </w:r>
          </w:p>
          <w:p>
            <w:pPr>
              <w:autoSpaceDN w:val="0"/>
              <w:adjustRightInd w:val="0"/>
              <w:snapToGrid w:val="0"/>
              <w:spacing w:line="520" w:lineRule="exact"/>
              <w:ind w:firstLine="480" w:firstLineChars="200"/>
              <w:rPr>
                <w:rFonts w:hint="eastAsia" w:ascii="仿宋_GB2312" w:eastAsia="仿宋_GB2312"/>
                <w:sz w:val="24"/>
              </w:rPr>
            </w:pPr>
            <w:r>
              <w:rPr>
                <w:rFonts w:hint="eastAsia" w:ascii="仿宋_GB2312" w:eastAsia="仿宋_GB2312"/>
                <w:sz w:val="24"/>
              </w:rPr>
              <w:t>司法鉴定机构高质量发展行动。培育1家品牌化、专业化、规模化司法鉴定机构。</w:t>
            </w:r>
          </w:p>
          <w:p>
            <w:pPr>
              <w:autoSpaceDN w:val="0"/>
              <w:adjustRightInd w:val="0"/>
              <w:snapToGrid w:val="0"/>
              <w:spacing w:line="520" w:lineRule="exact"/>
              <w:ind w:firstLine="480" w:firstLineChars="200"/>
              <w:rPr>
                <w:rFonts w:hint="eastAsia" w:ascii="仿宋_GB2312" w:eastAsia="仿宋_GB2312"/>
                <w:sz w:val="24"/>
              </w:rPr>
            </w:pPr>
            <w:r>
              <w:rPr>
                <w:rFonts w:hint="eastAsia" w:ascii="仿宋_GB2312" w:eastAsia="仿宋_GB2312"/>
                <w:sz w:val="24"/>
              </w:rPr>
              <w:t>仲裁机构能力提升行动。将乐山仲裁委打造成享有良好声誉、具有区域代表性的信息化示范仲裁机构。</w:t>
            </w:r>
          </w:p>
        </w:tc>
      </w:tr>
    </w:tbl>
    <w:p>
      <w:pPr>
        <w:pStyle w:val="10"/>
        <w:autoSpaceDN w:val="0"/>
        <w:rPr>
          <w:rFonts w:hint="eastAsia"/>
        </w:rPr>
      </w:pPr>
      <w:bookmarkStart w:id="54" w:name="_Toc102032479"/>
      <w:r>
        <w:rPr>
          <w:rFonts w:hint="eastAsia"/>
        </w:rPr>
        <w:t>第五章  推进公共法律服务均衡发展</w:t>
      </w:r>
      <w:bookmarkEnd w:id="54"/>
    </w:p>
    <w:p>
      <w:pPr>
        <w:autoSpaceDN w:val="0"/>
        <w:adjustRightInd w:val="0"/>
        <w:snapToGrid w:val="0"/>
        <w:spacing w:line="580" w:lineRule="exact"/>
        <w:ind w:firstLine="640" w:firstLineChars="200"/>
        <w:rPr>
          <w:rFonts w:hint="eastAsia" w:ascii="仿宋_GB2312" w:eastAsia="仿宋_GB2312"/>
          <w:sz w:val="32"/>
          <w:szCs w:val="32"/>
        </w:rPr>
      </w:pPr>
      <w:bookmarkStart w:id="55" w:name="_Toc73538250"/>
    </w:p>
    <w:p>
      <w:pPr>
        <w:pStyle w:val="11"/>
        <w:autoSpaceDN w:val="0"/>
        <w:rPr>
          <w:rFonts w:hint="eastAsia"/>
        </w:rPr>
      </w:pPr>
      <w:bookmarkStart w:id="56" w:name="_Toc102032480"/>
      <w:r>
        <w:rPr>
          <w:rFonts w:hint="eastAsia"/>
        </w:rPr>
        <w:t>第一节  加强民族地区公共法律服务</w:t>
      </w:r>
      <w:bookmarkEnd w:id="55"/>
      <w:r>
        <w:rPr>
          <w:rFonts w:hint="eastAsia"/>
        </w:rPr>
        <w:t>能力建设</w:t>
      </w:r>
      <w:bookmarkEnd w:id="56"/>
    </w:p>
    <w:p>
      <w:pPr>
        <w:autoSpaceDN w:val="0"/>
        <w:adjustRightInd w:val="0"/>
        <w:snapToGrid w:val="0"/>
        <w:spacing w:line="580" w:lineRule="exact"/>
        <w:ind w:firstLine="640" w:firstLineChars="200"/>
        <w:rPr>
          <w:rFonts w:hint="eastAsia" w:ascii="仿宋_GB2312" w:eastAsia="仿宋_GB2312"/>
          <w:sz w:val="32"/>
          <w:szCs w:val="32"/>
        </w:rPr>
      </w:pP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提升民族地区公共法律服务能力。鼓励法律服务资源依法跨区域流动，到乡村开展便民法律服务，鼓励法律服务机构到民族地区开设分支机构或便民服务点，鼓励法律服务人才向民族地区流动。加快民族地区智慧公共法律服务建设，打造一批示范性公共法律服务中心（站、室），实现公证实时视频协同办证和犯罪嫌疑人、被告人的远程法律帮助和法律服务全覆盖。加强市中区、沙湾区、峨眉山市对峨边彝族自治县、金口河区、马边彝族自治县法律对口帮扶工作，补齐乡村公共法律服务短板，助力乡村振兴。</w:t>
      </w:r>
      <w:bookmarkStart w:id="57" w:name="_Toc73538252"/>
    </w:p>
    <w:p>
      <w:pPr>
        <w:autoSpaceDN w:val="0"/>
        <w:adjustRightInd w:val="0"/>
        <w:snapToGrid w:val="0"/>
        <w:spacing w:line="580" w:lineRule="exact"/>
        <w:ind w:firstLine="640" w:firstLineChars="200"/>
        <w:rPr>
          <w:rFonts w:hint="eastAsia" w:ascii="仿宋_GB2312" w:eastAsia="仿宋_GB2312"/>
          <w:sz w:val="32"/>
          <w:szCs w:val="32"/>
        </w:rPr>
      </w:pPr>
    </w:p>
    <w:p>
      <w:pPr>
        <w:pStyle w:val="11"/>
        <w:autoSpaceDN w:val="0"/>
        <w:rPr>
          <w:rFonts w:hint="eastAsia"/>
        </w:rPr>
      </w:pPr>
      <w:bookmarkStart w:id="58" w:name="_Toc102032481"/>
      <w:r>
        <w:rPr>
          <w:rFonts w:hint="eastAsia"/>
        </w:rPr>
        <w:t>第二节  推进公共法律服务区域协调发展</w:t>
      </w:r>
      <w:bookmarkEnd w:id="58"/>
    </w:p>
    <w:p>
      <w:pPr>
        <w:autoSpaceDN w:val="0"/>
        <w:adjustRightInd w:val="0"/>
        <w:snapToGrid w:val="0"/>
        <w:spacing w:line="580" w:lineRule="exact"/>
        <w:ind w:firstLine="640" w:firstLineChars="200"/>
        <w:rPr>
          <w:rFonts w:hint="eastAsia" w:ascii="仿宋_GB2312" w:eastAsia="仿宋_GB2312"/>
          <w:sz w:val="32"/>
          <w:szCs w:val="32"/>
        </w:rPr>
      </w:pPr>
    </w:p>
    <w:p>
      <w:pPr>
        <w:autoSpaceDN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融入成渝地区双城经济圈公共法律服务协同发展。推动公共法律服务资源共建共享。健全律师、公证、司法鉴定等法律服务监管协作、执业资格及培训互认、行业技术规范、专家库共享共用机制和法律援助协同办案机制，促进两地法律服务标准协同、数据联通、服务融通。实现两地申请法律援助经济困难条件互认，推动两地仲裁机构互聘仲裁员，推进川渝通办法律服务事项无差别受理、同标准办理。</w:t>
      </w:r>
    </w:p>
    <w:p>
      <w:pPr>
        <w:autoSpaceDN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服务“四区布局”发展战略。推动全市公共法律服务区域布局整体优化、功能体系整体完善、发展能级整体提升，逐步形成“两带一中心”发展格局，即形成以市中区为重点，五通桥区、沙湾区公共法律服务同城化发展，服务先进制造业示范中心；以峨眉山市、夹江县为重点，协调金口河区、峨边彝族自治县公共法律服务，助力文旅、现代农业发展示范带；以犍为县为重点，协调井研县、沐川县、马边彝族自治县公共法律服务，促进生态经济示范带建设。</w:t>
      </w:r>
    </w:p>
    <w:p>
      <w:pPr>
        <w:autoSpaceDN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鼓励市中区、峨眉山市、犍为县、夹江县的律师事务所、公证处等法律服务机构规模化发展；支持夹江县发挥对接成德眉资同城化公共法律服务综合试验区的桥头堡作用，支持犍为县发挥联动省级区域公共法律服务示范区（宜宾市）的前哨站作用；鼓励五通桥区、沙湾区、峨边彝族自治县的律师事务所、公证处等法律服务机构提档升级，支持井研县发挥内江市、自贡市同城法治协同先行区的毗邻区作用；鼓励金口河区、沐川县、马边彝族自治县填补空白，均衡发展，支持马边彝族自治县发挥公共法律服务巩固拓展脱贫攻坚同乡村振兴有效衔接示范区（凉山州）的衔接点作用。</w:t>
      </w:r>
    </w:p>
    <w:p>
      <w:pPr>
        <w:autoSpaceDN w:val="0"/>
        <w:adjustRightInd w:val="0"/>
        <w:snapToGrid w:val="0"/>
        <w:spacing w:line="560" w:lineRule="exact"/>
        <w:ind w:firstLine="640" w:firstLineChars="200"/>
        <w:rPr>
          <w:rFonts w:hint="eastAsia" w:ascii="仿宋_GB2312" w:eastAsia="仿宋_GB2312"/>
          <w:sz w:val="32"/>
          <w:szCs w:val="32"/>
        </w:rPr>
      </w:pPr>
    </w:p>
    <w:p>
      <w:pPr>
        <w:pStyle w:val="11"/>
        <w:autoSpaceDN w:val="0"/>
        <w:spacing w:line="560" w:lineRule="exact"/>
        <w:rPr>
          <w:rFonts w:hint="eastAsia"/>
        </w:rPr>
      </w:pPr>
      <w:bookmarkStart w:id="59" w:name="_Toc102032482"/>
      <w:r>
        <w:rPr>
          <w:rFonts w:hint="eastAsia"/>
        </w:rPr>
        <w:t>第三节  拓宽公共法律服务</w:t>
      </w:r>
      <w:bookmarkEnd w:id="57"/>
      <w:r>
        <w:rPr>
          <w:rFonts w:hint="eastAsia"/>
        </w:rPr>
        <w:t>供给领域</w:t>
      </w:r>
      <w:bookmarkEnd w:id="59"/>
    </w:p>
    <w:p>
      <w:pPr>
        <w:autoSpaceDN w:val="0"/>
        <w:adjustRightInd w:val="0"/>
        <w:snapToGrid w:val="0"/>
        <w:spacing w:line="580" w:lineRule="exact"/>
        <w:ind w:firstLine="640" w:firstLineChars="200"/>
        <w:rPr>
          <w:rFonts w:hint="eastAsia" w:ascii="仿宋_GB2312" w:eastAsia="仿宋_GB2312"/>
          <w:sz w:val="32"/>
          <w:szCs w:val="32"/>
        </w:rPr>
      </w:pPr>
    </w:p>
    <w:p>
      <w:pPr>
        <w:autoSpaceDN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加强“中国绿色硅谷”公共法律服务。对标国、省要求，瞄准全省最佳实践经验，坚持高起点谋划、高标准建设、高效率运转，推进五通桥新型工业基地公共法律服务中心建设，统筹律师、公证、仲裁、司法鉴定、人民调解、法律援助等资源，为企业投资融资、劳务用工、纠纷化解、兼并重组等重大生产经营事项提供“一站式、零距离、全业务、全方位”专业法律服务。主动对接“天府中央法务区”等高能级法务聚集区及法律服务机构，为满足园区企业个性化法律服务需求牵线搭桥。助推五通桥新型工业基地建设成为全省营商环境示范园区，助力打造“中国绿色硅谷”。</w:t>
      </w:r>
    </w:p>
    <w:p>
      <w:pPr>
        <w:autoSpaceDN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加强高校公共法律服务。加强与乐山师范学院战略合作，依托师资承接部分公共法律服务工作，推进公共法律服务研究中心和公共法律服务工作站建设，打造公共法律服务理论研究和实践创新基地。</w:t>
      </w:r>
    </w:p>
    <w:p>
      <w:pPr>
        <w:autoSpaceDN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加强知识产权领域公共法律服务。拓宽知识产权纠纷多元化、非诉讼解决渠道，加强乐山市知识产权纠纷人民调解委员会建设。成立乐山市律师协会知识产权专业委员会，开展知识产权保护实务研究与交流，提供维权援助服务。</w:t>
      </w:r>
    </w:p>
    <w:p>
      <w:pPr>
        <w:autoSpaceDN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加强退役军人公共法律服务。完善退役军人公共法律服务平台网络，打造一批示范性退役军人公共法律服务工作站，优化服务供给，建立协作机制。支持建立退役军人公共法律服务专家库、志愿服务团、“老兵法律服务队”。</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夯实安置帮教工作基础。打造4个示范性过渡性安置帮教基地。引入社会参与机制，探索建立安置帮教志愿者队伍，建立健全安置帮教工作师资库，实现安置帮教工作人员培训全覆盖。推进安置帮教工作信息化建设，建立安置帮教与监狱系统、社区矫正系统的信息共享与业务协同系统，强化释放衔接工作，落实重点帮教对象的安置帮教工作。</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提升服务民营经济效能。整合律师、公证、司法鉴定等法律服务资源，组建“民营企业专项法律服务团”，推进民营企业“法治讲堂”“法治体检”常态化。加强民营企业权益保障，完善民营（外来）企业投诉服务网络，在有条件的产业园区、商（协）会建立民营（外来）企业投诉服务工作站，创建一批标准化民营（外来）企业投诉服务工作站，为企业提供投诉申请受理、困难协助处理、法律政策咨询等集成服务，实现调解、诉讼、裁决、复议、仲裁有效衔接，打造涉企矛盾纠纷“一站式”化解平台，营造良好法治环境。</w:t>
      </w:r>
    </w:p>
    <w:p>
      <w:pPr>
        <w:autoSpaceDN w:val="0"/>
        <w:spacing w:line="580" w:lineRule="exact"/>
        <w:jc w:val="center"/>
        <w:rPr>
          <w:rFonts w:hint="eastAsia" w:ascii="仿宋_GB2312" w:eastAsia="仿宋_GB2312"/>
          <w:sz w:val="24"/>
        </w:rPr>
      </w:pPr>
      <w:r>
        <w:rPr>
          <w:rFonts w:hint="eastAsia" w:ascii="仿宋_GB2312" w:eastAsia="仿宋_GB2312"/>
          <w:sz w:val="24"/>
        </w:rPr>
        <w:t>专栏6  推进公共法律服务区域协调发展专栏</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80" w:type="dxa"/>
            <w:noWrap w:val="0"/>
            <w:vAlign w:val="top"/>
          </w:tcPr>
          <w:p>
            <w:pPr>
              <w:autoSpaceDN w:val="0"/>
              <w:adjustRightInd w:val="0"/>
              <w:snapToGrid w:val="0"/>
              <w:spacing w:line="520" w:lineRule="exact"/>
              <w:ind w:firstLine="480" w:firstLineChars="200"/>
              <w:rPr>
                <w:rFonts w:hint="eastAsia" w:ascii="仿宋_GB2312" w:eastAsia="仿宋_GB2312"/>
                <w:sz w:val="24"/>
              </w:rPr>
            </w:pPr>
            <w:r>
              <w:rPr>
                <w:rFonts w:hint="eastAsia" w:ascii="仿宋_GB2312" w:eastAsia="仿宋_GB2312"/>
                <w:sz w:val="24"/>
              </w:rPr>
              <w:t>民族地区公共服务能力提升。在民族地区打造一批示范性公共法律服务工作站、室。支持民族地区法律服务机构和人才建设，确保民族地区各县（区）至少有1家律师事务所、1家公证处。</w:t>
            </w:r>
          </w:p>
          <w:p>
            <w:pPr>
              <w:autoSpaceDN w:val="0"/>
              <w:adjustRightInd w:val="0"/>
              <w:snapToGrid w:val="0"/>
              <w:spacing w:line="520" w:lineRule="exact"/>
              <w:ind w:firstLine="480" w:firstLineChars="200"/>
              <w:rPr>
                <w:rFonts w:hint="eastAsia" w:ascii="仿宋_GB2312" w:eastAsia="仿宋_GB2312"/>
                <w:sz w:val="24"/>
              </w:rPr>
            </w:pPr>
            <w:r>
              <w:rPr>
                <w:rFonts w:hint="eastAsia" w:ascii="仿宋_GB2312" w:eastAsia="仿宋_GB2312"/>
                <w:sz w:val="24"/>
              </w:rPr>
              <w:t>成渝地区双城经济圈公共法律服务协同发展。推进法律服务供给一体化，推进川渝通办法律服务事项无差别受理、同标准办理。</w:t>
            </w:r>
          </w:p>
          <w:p>
            <w:pPr>
              <w:autoSpaceDN w:val="0"/>
              <w:adjustRightInd w:val="0"/>
              <w:snapToGrid w:val="0"/>
              <w:spacing w:line="520" w:lineRule="exact"/>
              <w:ind w:firstLine="480" w:firstLineChars="200"/>
              <w:rPr>
                <w:rFonts w:hint="eastAsia" w:ascii="仿宋_GB2312" w:eastAsia="仿宋_GB2312"/>
                <w:sz w:val="24"/>
              </w:rPr>
            </w:pPr>
            <w:r>
              <w:rPr>
                <w:rFonts w:hint="eastAsia" w:ascii="仿宋_GB2312" w:eastAsia="仿宋_GB2312"/>
                <w:sz w:val="24"/>
              </w:rPr>
              <w:t>公共法律服务拓展。在全市打造1个示范性高校公共法律服务工作站，1个示范性退役军人公共法律服务工作站；力争完成11个“智慧矫正中心”的示范创建；配置11个安置帮教公益岗位服务人员。</w:t>
            </w:r>
          </w:p>
        </w:tc>
      </w:tr>
    </w:tbl>
    <w:p>
      <w:pPr>
        <w:autoSpaceDN w:val="0"/>
        <w:adjustRightInd w:val="0"/>
        <w:snapToGrid w:val="0"/>
        <w:spacing w:line="580" w:lineRule="exact"/>
        <w:ind w:firstLine="640" w:firstLineChars="200"/>
        <w:rPr>
          <w:rFonts w:hint="eastAsia" w:ascii="仿宋_GB2312" w:eastAsia="仿宋_GB2312"/>
          <w:sz w:val="32"/>
          <w:szCs w:val="32"/>
        </w:rPr>
      </w:pPr>
    </w:p>
    <w:p>
      <w:pPr>
        <w:pStyle w:val="10"/>
        <w:autoSpaceDN w:val="0"/>
        <w:rPr>
          <w:rFonts w:hint="eastAsia"/>
        </w:rPr>
      </w:pPr>
      <w:bookmarkStart w:id="60" w:name="_Toc1798986572_WPSOffice_Level1"/>
      <w:bookmarkStart w:id="61" w:name="_Toc275692636"/>
      <w:bookmarkStart w:id="62" w:name="_Toc102032483"/>
      <w:bookmarkStart w:id="63" w:name="_Toc73538257"/>
      <w:r>
        <w:rPr>
          <w:rFonts w:hint="eastAsia"/>
        </w:rPr>
        <w:t>第</w:t>
      </w:r>
      <w:bookmarkEnd w:id="60"/>
      <w:bookmarkEnd w:id="61"/>
      <w:r>
        <w:rPr>
          <w:rFonts w:hint="eastAsia"/>
        </w:rPr>
        <w:t>六章  健全实施保障</w:t>
      </w:r>
      <w:bookmarkEnd w:id="62"/>
      <w:bookmarkEnd w:id="63"/>
    </w:p>
    <w:p>
      <w:pPr>
        <w:autoSpaceDN w:val="0"/>
        <w:adjustRightInd w:val="0"/>
        <w:snapToGrid w:val="0"/>
        <w:spacing w:line="580" w:lineRule="exact"/>
        <w:ind w:firstLine="640" w:firstLineChars="200"/>
        <w:rPr>
          <w:rFonts w:hint="eastAsia" w:ascii="仿宋_GB2312" w:eastAsia="仿宋_GB2312"/>
          <w:sz w:val="32"/>
          <w:szCs w:val="32"/>
        </w:rPr>
      </w:pPr>
      <w:bookmarkStart w:id="64" w:name="_Toc73538258"/>
      <w:bookmarkStart w:id="65" w:name="_Toc1443906673"/>
    </w:p>
    <w:p>
      <w:pPr>
        <w:pStyle w:val="11"/>
        <w:autoSpaceDN w:val="0"/>
        <w:rPr>
          <w:rFonts w:hint="eastAsia"/>
        </w:rPr>
      </w:pPr>
      <w:bookmarkStart w:id="66" w:name="_Toc102032484"/>
      <w:r>
        <w:rPr>
          <w:rFonts w:hint="eastAsia"/>
        </w:rPr>
        <w:t>第一节  加强</w:t>
      </w:r>
      <w:bookmarkEnd w:id="64"/>
      <w:bookmarkEnd w:id="65"/>
      <w:r>
        <w:rPr>
          <w:rFonts w:hint="eastAsia"/>
        </w:rPr>
        <w:t>党的领导</w:t>
      </w:r>
      <w:bookmarkEnd w:id="66"/>
    </w:p>
    <w:p>
      <w:pPr>
        <w:autoSpaceDN w:val="0"/>
        <w:adjustRightInd w:val="0"/>
        <w:snapToGrid w:val="0"/>
        <w:spacing w:line="580" w:lineRule="exact"/>
        <w:ind w:firstLine="640" w:firstLineChars="200"/>
        <w:rPr>
          <w:rFonts w:hint="eastAsia" w:ascii="仿宋_GB2312" w:eastAsia="仿宋_GB2312"/>
          <w:sz w:val="32"/>
          <w:szCs w:val="32"/>
        </w:rPr>
      </w:pP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坚持党的全面领导。把党的领导贯穿于推进公共法律服务体系建设各个阶段、各个领域、各个环节，把党的政治优势、组织优势转化为推进公共法律服务体系发展的强大动力。推动将公共法律服务体系建设纳入经济社会发展整体规划和公共服务体系建设的范畴，纳入经济社会发展综合考核体系，为公共法律服务体系建设提供制度保障。各地要围绕本规划确定的目标、任务，结合各地实际，认真组织实施，督促和推动公共法律服务体系建设落地落实。</w:t>
      </w:r>
    </w:p>
    <w:p>
      <w:pPr>
        <w:autoSpaceDN w:val="0"/>
        <w:adjustRightInd w:val="0"/>
        <w:snapToGrid w:val="0"/>
        <w:spacing w:line="580" w:lineRule="exact"/>
        <w:ind w:firstLine="640" w:firstLineChars="200"/>
        <w:rPr>
          <w:rFonts w:hint="eastAsia" w:ascii="仿宋_GB2312" w:eastAsia="仿宋_GB2312"/>
          <w:sz w:val="32"/>
          <w:szCs w:val="32"/>
        </w:rPr>
      </w:pPr>
    </w:p>
    <w:p>
      <w:pPr>
        <w:pStyle w:val="11"/>
        <w:autoSpaceDN w:val="0"/>
        <w:rPr>
          <w:rFonts w:hint="eastAsia"/>
        </w:rPr>
      </w:pPr>
      <w:bookmarkStart w:id="67" w:name="_Toc102032485"/>
      <w:r>
        <w:rPr>
          <w:rFonts w:hint="eastAsia"/>
        </w:rPr>
        <w:t>第二节  加强统筹协调</w:t>
      </w:r>
      <w:bookmarkEnd w:id="67"/>
    </w:p>
    <w:p>
      <w:pPr>
        <w:autoSpaceDN w:val="0"/>
        <w:adjustRightInd w:val="0"/>
        <w:snapToGrid w:val="0"/>
        <w:spacing w:line="580" w:lineRule="exact"/>
        <w:ind w:firstLine="640" w:firstLineChars="200"/>
        <w:rPr>
          <w:rFonts w:hint="eastAsia" w:ascii="仿宋_GB2312" w:eastAsia="仿宋_GB2312"/>
          <w:sz w:val="32"/>
          <w:szCs w:val="32"/>
        </w:rPr>
      </w:pP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建立健全公共法律服务体系建设联席会议机制，加大对跨区域、跨部门重大事项协调力度，研究推动重点任务、重大改革、重大项目，谋划推进具体工作事项。由司法行政机关牵头，会同发展改革、财政、人力资源社会保障、民政、农业农村、信访等部门发挥职能作用和资源优势，整体设计、协调推进规划编制、政策衔接、标准制定实施、服务运行、财政保障等工作。逐步健全完善公共法律服务与诉讼服务、公共安全服务、检察服务、诉源治理、基层综合治理以及其他公共服务的对接机制，实现资源整合和互联互通。组织实施好一批示范项目，及时总结经验，推广典型示范。</w:t>
      </w:r>
    </w:p>
    <w:p>
      <w:pPr>
        <w:autoSpaceDN w:val="0"/>
        <w:adjustRightInd w:val="0"/>
        <w:snapToGrid w:val="0"/>
        <w:spacing w:line="580" w:lineRule="exact"/>
        <w:ind w:firstLine="640" w:firstLineChars="200"/>
        <w:rPr>
          <w:rFonts w:hint="eastAsia" w:ascii="仿宋_GB2312" w:eastAsia="仿宋_GB2312"/>
          <w:sz w:val="32"/>
          <w:szCs w:val="32"/>
        </w:rPr>
      </w:pPr>
    </w:p>
    <w:p>
      <w:pPr>
        <w:pStyle w:val="11"/>
        <w:autoSpaceDN w:val="0"/>
        <w:rPr>
          <w:rFonts w:hint="eastAsia"/>
        </w:rPr>
      </w:pPr>
      <w:bookmarkStart w:id="68" w:name="_Toc102032486"/>
      <w:r>
        <w:rPr>
          <w:rFonts w:hint="eastAsia"/>
        </w:rPr>
        <w:t>第三节  加强基础保障</w:t>
      </w:r>
      <w:bookmarkEnd w:id="68"/>
    </w:p>
    <w:p>
      <w:pPr>
        <w:autoSpaceDN w:val="0"/>
        <w:adjustRightInd w:val="0"/>
        <w:snapToGrid w:val="0"/>
        <w:spacing w:line="580" w:lineRule="exact"/>
        <w:ind w:firstLine="640" w:firstLineChars="200"/>
        <w:rPr>
          <w:rFonts w:hint="eastAsia" w:ascii="仿宋_GB2312" w:eastAsia="仿宋_GB2312"/>
          <w:sz w:val="32"/>
          <w:szCs w:val="32"/>
        </w:rPr>
      </w:pP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建立健全公共法律服务资金保障机制。将公共法律服务经费需求纳入同级财政予以保障，建立健全资金动态调整机制。完善政府购买公共法律服务机制，将基本公共法律服务事项纳入政府购买服务指导性目录，逐步扩大购买范围和规模。</w:t>
      </w:r>
    </w:p>
    <w:p>
      <w:pPr>
        <w:autoSpaceDN w:val="0"/>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持续推进公共法律服务人才队伍建设。深入开展公共法律服务管理人员培训，充分发挥高等院校、行业协会、专业机构作用，探索创新公共法律服务人才培养模式。支持公共法律服务人才参加职称评定，推动建立健全职业序列、人才引进、专业评价等激励政策，鼓励社会力量参与公共法律服务，促进人才队伍均衡发展，全面提升公共法律服务管理水平。</w:t>
      </w:r>
    </w:p>
    <w:p>
      <w:pPr>
        <w:autoSpaceDN w:val="0"/>
        <w:adjustRightInd w:val="0"/>
        <w:snapToGrid w:val="0"/>
        <w:spacing w:line="580" w:lineRule="exact"/>
        <w:ind w:firstLine="640" w:firstLineChars="200"/>
        <w:rPr>
          <w:rFonts w:hint="eastAsia" w:ascii="仿宋_GB2312" w:eastAsia="仿宋_GB2312"/>
          <w:sz w:val="32"/>
          <w:szCs w:val="32"/>
        </w:rPr>
      </w:pPr>
    </w:p>
    <w:p>
      <w:pPr>
        <w:pStyle w:val="11"/>
        <w:autoSpaceDN w:val="0"/>
        <w:rPr>
          <w:rFonts w:hint="eastAsia"/>
        </w:rPr>
      </w:pPr>
      <w:bookmarkStart w:id="69" w:name="_Toc102032487"/>
      <w:r>
        <w:rPr>
          <w:rFonts w:hint="eastAsia"/>
        </w:rPr>
        <w:t>第四节  加强考评监管</w:t>
      </w:r>
      <w:bookmarkEnd w:id="69"/>
    </w:p>
    <w:p>
      <w:pPr>
        <w:autoSpaceDN w:val="0"/>
        <w:adjustRightInd w:val="0"/>
        <w:snapToGrid w:val="0"/>
        <w:spacing w:line="580" w:lineRule="exact"/>
        <w:ind w:firstLine="640" w:firstLineChars="200"/>
        <w:rPr>
          <w:rFonts w:hint="eastAsia" w:ascii="仿宋_GB2312" w:eastAsia="仿宋_GB2312"/>
          <w:sz w:val="32"/>
          <w:szCs w:val="32"/>
        </w:rPr>
      </w:pPr>
    </w:p>
    <w:p>
      <w:pPr>
        <w:autoSpaceDN w:val="0"/>
        <w:adjustRightInd w:val="0"/>
        <w:snapToGrid w:val="0"/>
        <w:spacing w:line="580" w:lineRule="exact"/>
        <w:ind w:firstLine="640" w:firstLineChars="200"/>
        <w:rPr>
          <w:rFonts w:hint="eastAsia" w:ascii="仿宋_GB2312" w:eastAsia="仿宋_GB2312"/>
          <w:kern w:val="0"/>
          <w:sz w:val="32"/>
          <w:szCs w:val="32"/>
          <w:u w:val="single"/>
        </w:rPr>
      </w:pPr>
      <w:r>
        <w:rPr>
          <w:rFonts w:hint="eastAsia" w:ascii="仿宋_GB2312" w:eastAsia="仿宋_GB2312"/>
          <w:sz w:val="32"/>
          <w:szCs w:val="32"/>
        </w:rPr>
        <w:t>推广公共法律服务考核评价机制。依托各类公共法律服务平台，使用政务服务“好差评”等服务质量评价机制，接受服务对象评价。积极邀请各级人大代表、政协委员、专家学者等参与公共法律服务指导评价。司法行政机关要加强对公共法律服务提供者的监督管理，建立健全公共法律服务准入、惩戒和投诉处理等制度机制。积极支持和引导各类法律服务行业协会加强自身建设，健全自律机制，推动行业自律和行政监管相结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A96E46"/>
    <w:multiLevelType w:val="multilevel"/>
    <w:tmpl w:val="55A96E4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B3483C"/>
    <w:rsid w:val="301E5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cs="Arial"/>
      <w:b/>
      <w:bCs/>
      <w:sz w:val="32"/>
      <w:szCs w:val="32"/>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toc 1"/>
    <w:basedOn w:val="1"/>
    <w:next w:val="1"/>
    <w:semiHidden/>
    <w:qFormat/>
    <w:uiPriority w:val="0"/>
    <w:pPr>
      <w:tabs>
        <w:tab w:val="right" w:leader="dot" w:pos="8834"/>
      </w:tabs>
    </w:pPr>
    <w:rPr>
      <w:rFonts w:ascii="黑体" w:hAnsi="黑体" w:eastAsia="黑体"/>
      <w:sz w:val="32"/>
      <w:szCs w:val="32"/>
    </w:rPr>
  </w:style>
  <w:style w:type="paragraph" w:styleId="5">
    <w:name w:val="toc 2"/>
    <w:basedOn w:val="1"/>
    <w:next w:val="1"/>
    <w:semiHidden/>
    <w:qFormat/>
    <w:uiPriority w:val="0"/>
    <w:pPr>
      <w:tabs>
        <w:tab w:val="right" w:leader="dot" w:pos="8834"/>
      </w:tabs>
      <w:ind w:left="420" w:leftChars="200"/>
    </w:pPr>
    <w:rPr>
      <w:rFonts w:ascii="楷体_GB2312" w:eastAsia="楷体_GB2312"/>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paragraph" w:customStyle="1" w:styleId="10">
    <w:name w:val="样式1"/>
    <w:basedOn w:val="2"/>
    <w:next w:val="4"/>
    <w:qFormat/>
    <w:uiPriority w:val="0"/>
    <w:pPr>
      <w:adjustRightInd w:val="0"/>
      <w:snapToGrid w:val="0"/>
      <w:spacing w:before="0" w:after="0" w:line="580" w:lineRule="exact"/>
      <w:jc w:val="center"/>
    </w:pPr>
    <w:rPr>
      <w:rFonts w:ascii="仿宋_GB2312" w:eastAsia="黑体"/>
      <w:b w:val="0"/>
      <w:sz w:val="32"/>
      <w:szCs w:val="32"/>
    </w:rPr>
  </w:style>
  <w:style w:type="paragraph" w:customStyle="1" w:styleId="11">
    <w:name w:val="样式2"/>
    <w:basedOn w:val="3"/>
    <w:next w:val="5"/>
    <w:qFormat/>
    <w:uiPriority w:val="0"/>
    <w:pPr>
      <w:adjustRightInd w:val="0"/>
      <w:snapToGrid w:val="0"/>
      <w:spacing w:before="0" w:after="0" w:line="580" w:lineRule="exact"/>
      <w:jc w:val="center"/>
    </w:pPr>
    <w:rPr>
      <w:rFonts w:ascii="仿宋_GB2312" w:eastAsia="楷体_GB2312"/>
      <w:b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13488</Words>
  <Characters>13683</Characters>
  <Lines>0</Lines>
  <Paragraphs>0</Paragraphs>
  <TotalTime>0</TotalTime>
  <ScaleCrop>false</ScaleCrop>
  <LinksUpToDate>false</LinksUpToDate>
  <CharactersWithSpaces>13849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2022-05-05T08:36:00Z</dcterms:created>
  <dc:creator>Administrator</dc:creator>
  <cp:lastModifiedBy>Zzzl</cp:lastModifiedBy>
  <dcterms:modified xsi:type="dcterms:W3CDTF">2022-05-07T06:35:32Z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16BDCFC5CA9C44ED913F345AE403D52D</vt:lpwstr>
  </property>
</Properties>
</file>